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1C_360/2013 vom 4. April 2014</w:t>
      </w:r>
    </w:p>
    <w:p>
      <w:r>
        <w:t>Bundesgericht, 2014-04-04, DE</w:t>
      </w:r>
    </w:p>
    <w:p>
      <w:r>
        <w:rPr>
          <w:b/>
        </w:rPr>
        <w:t xml:space="preserve">Quelle: </w:t>
      </w:r>
      <w:r>
        <w:t>https://mcp.opencaselaw.ch/entscheid/bger_1C_360_2013</w:t>
      </w:r>
    </w:p>
    <w:p>
      <w:r>
        <w:t>FR: TF 1C_360/2013 du 4 avril 2014</w:t>
      </w:r>
    </w:p>
    <w:p>
      <w:r>
        <w:t>IT: TF 1C_360/2013 del 4 aprile 2014</w:t>
      </w:r>
    </w:p>
    <w:p>
      <w:pPr>
        <w:pStyle w:val="Heading2"/>
      </w:pPr>
      <w:r>
        <w:t>Erwägungen</w:t>
      </w:r>
    </w:p>
    <w:p>
      <w:r>
        <w:rPr>
          <w:b/>
        </w:rPr>
        <w:t>E. 1.1</w:t>
      </w:r>
    </w:p>
    <w:p>
      <w:r>
        <w:t>Beim angefochtenen Urteil handelt es sich um einen kantonal letztinstanzlichen Entscheid über eine Baubewilligung für eine Mobilfunksendeanlage, welcher der Beschwerde in öffentlich-rechtlichen Angelegenheiten unterliegt ( Art. 82 ff. BGG ). Damit bleibt für die subsidiäre Verfassungsbeschwerde kein Raum ( Art. 113 BGG ).</w:t>
      </w:r>
    </w:p>
    <w:p>
      <w:r>
        <w:t>Betreffend die Beschwerdeberechtigung hat die Vorinstanz im angefochtenen Entscheid erwogen, die Rechtsmittellegitimation stehe mit Ausnahme eines allfälligen Parteiwechsels nur denjenigen Personen zu, die bereits gegen die öffentliche Auflage des Bauprojekts 2007 Einsprache erhoben und sich am ersten Rechtsmittelverfahren (Entscheid des Verwaltungsgerichts vom 23. Januar 2008) beteiligt hätten. Zudem sei die IGOMF als einfache Gesellschaft mangels eigener Rechtspersönlichkeit nicht zur Beschwerdeführung im eigenen Namen legitimiert.</w:t>
      </w:r>
    </w:p>
    <w:p>
      <w:r>
        <w:t>Diese Ausführungen der Vorinstanz sind zutreffend und werden von den Beschwerdeführern auch nicht bestritten (zur fehlenden Beschwerdeberechtigung einfacher Gesellschaften vgl. Urteil 1B_323/2008 vom 20. Mai 2009 E. 1.3). Auf die Beschwerde der Beschwerdeführer 29 - 53 gemäss Rubrum ist deshalb nicht einzutreten.</w:t>
      </w:r>
    </w:p>
    <w:p>
      <w:r>
        <w:rPr>
          <w:b/>
        </w:rPr>
        <w:t>E. 1.2</w:t>
      </w:r>
    </w:p>
    <w:p>
      <w:r>
        <w:t>Nicht einzutreten ist sodann auf den Beschwerdeantrag, auch die unterinstanzlichen Entscheide aufzuheben. Diese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Die Beschwerdeführer beantragen, ihnen sei nach Zustellung sämtlicher Baubewilligungsakten, Gelegenheit zur Beschwerdeergänzung einzuräumen. Sie legen indes nicht dar, weshalb sie diese Akten im kantonalen Verfahren nicht einsehen konnten bzw. weshalb sie auf eine erneute Einsichtnahme angewiesen sind, um ihre Beschwerdeschrift zu vervollständigen. Der Antrag ist abzuweisen.</w:t>
      </w:r>
    </w:p>
    <w:p>
      <w:r>
        <w:t>Die Beschwerdeführer begründen auch ihren Antrag auf Durchführung eines Augenscheins nicht. Der Antrag ist ebenfalls abzuweisen. Die Beschwerdeführer rügen keine willkürliche Sachverhaltsfeststellung (vgl. nachfolgend E. 1.4.2), sodass bereits aus diesem Grund nicht ersichtlich ist, inwiefern sich bei einem Augenschein entscheidrelevante Erkenntnisse gewinnen liessen.</w:t>
      </w:r>
    </w:p>
    <w:p>
      <w:r>
        <w:rPr>
          <w:b/>
        </w:rPr>
        <w:t>E. 1.4.1</w:t>
      </w:r>
    </w:p>
    <w:p>
      <w:r>
        <w:t>Nach Art. 42 Abs. 2 BGG ist in der 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Das bedingt aber,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1.4.2</w:t>
      </w:r>
    </w:p>
    <w:p>
      <w:r>
        <w:t>Die Beschwerdeführer wiederholen über weite Strecken ihren bereits im vorinstanzlichen Verfahren vertretenen Standpunkt, ohne auf die Argumentation der Vorinstanz einzugehen.</w:t>
      </w:r>
    </w:p>
    <w:p>
      <w:r>
        <w:t>Die Vorinstanz hat namentlich erwogen, an den beiden von ihr durchgeführten Augenscheinen habe sich gezeigt, dass die Mobilfunkantenne kaum direkt mit dem (in keinem Bundesinventar aufgeführten) Baudenkmal "Schloss Freidorf" wahrgenommen werde, womit auch keine Beeinträchtigung dieses Schutzobjekts vorliege. Diese wie auch die weiteren Sachverhaltsfeststellungen der Vorinstanz werden von den Beschwerdeführern nicht als willkürlich gerügt. Ebenso wenig bringen sie vor, die Vorinstanz habe kantonales Recht (insb. das Planungs- und Baugesetz des Kantons Thurgau [PBG/TG; RB 700]) oder kommunales Recht (insb. das Baureglement der Gemeinde Roggwil) willkürlich angewendet.</w:t>
      </w:r>
    </w:p>
    <w:p>
      <w:r>
        <w:t>Auf die Beschwerde ist mithin einzig insoweit einzutreten, als die Beschwerdeführer die Verletzung von Bundesrecht gemäss Art. 95 lit. a BGG geltend machen und diese Vorbringen den Begründungsanforderungen von Art. 42 Abs. 2 BGG genügen.</w:t>
      </w:r>
    </w:p>
    <w:p>
      <w:r>
        <w:rPr>
          <w:b/>
        </w:rPr>
        <w:t>E. 2</w:t>
      </w:r>
    </w:p>
    <w:p>
      <w:r>
        <w:t>In verfahrensrechtlicher Hinsicht rügen die Beschwerdeführer eine Verletzung ihres Anspruchs auf rechtliches Gehör gemäss Art. 29 Abs. 2 BV , da die Vorinstanz die beiden Augenscheine einzig "aus dem Blickwinkel des Senderstandortes selbst" vorgenommen habe.</w:t>
      </w:r>
    </w:p>
    <w:p>
      <w:r>
        <w:t>Dieses Vorbringen ist nicht stichhaltig. Wie die Vorinstanz unter Hinweis auf die beiden Augenscheinprotokolle vom 31. Oktober und 21. November 2007 dargelegt hat, wurde bei beiden Augenscheinen auch ein Standort oberhalb des Baugrundstücks gewählt. Zudem stellte der Präsident der Vorinstanz anlässlich des ersten Augenscheins ausdrücklich die Frage, ob noch weitere Standorte besichtigt werden sollten, was die anwesenden Personen verneinten. Auch im Übrigen ist weder substanziiert gerügt noch ersichtlich, inwiefern die Teilnahmerechte der Beschwerdeführer im mit Entscheid vom 13. Februar 2013 abgeschlossenen vorinstanzlichen Verfahren verletzt worden sein sollten.</w:t>
      </w:r>
    </w:p>
    <w:p>
      <w:r>
        <w:rPr>
          <w:b/>
        </w:rPr>
        <w:t>E. 3.1</w:t>
      </w:r>
    </w:p>
    <w:p>
      <w:r>
        <w:t>Die Vorinstanz hat erwogen, das Baugrundstück liege in der Gewerbezone, und das Projekt sei zonenkonform. Entgegen der Auffassung der Beschwerdeführer fehle eine gesetzliche Grundlage, um die Beschwerdegegnerin zur Prüfung von Alternativstandorten zu verpflichten, denn die Gemeinde Roggwil habe auf eine entsprechende Negativ- oder Positivplanung (vgl. BGE 133 II 64 E. 5.3 S. 67) im Rahmen der Ortsplanung verzichtet. Die Grenzwerte der Verordnung vom 23. Dezember 1999 über den Schutz vor nichtionisierender Strahlung (NISV; SR 814.710) seien eingehalten, und die Kritik der Beschwerdeführer am Qualitätssicherungssystem der Netzbetreiber sei entkräftet worden. Da das Bauprojekt den gesetzlichen Vorschriften entspreche, habe die Beschwerdegegnerin einen Rechtsanspruch auf Erteilung der Baubewilligung.</w:t>
      </w:r>
    </w:p>
    <w:p>
      <w:r>
        <w:rPr>
          <w:b/>
        </w:rPr>
        <w:t>E. 3.2</w:t>
      </w:r>
    </w:p>
    <w:p>
      <w:r>
        <w:t>Die Beschwerdeführer machen geltend, die Baubewilligungserteilung verstosse gegen Art. 24 RPG .</w:t>
      </w:r>
    </w:p>
    <w:p>
      <w:r>
        <w:t>Die Rüge ist unbegründet. Art. 24 RPG regelt die Erteilung von Ausnahmebewilligungen für Bauten und Anlagen</w:t>
      </w:r>
    </w:p>
    <w:p>
      <w:r>
        <w:t>ausserhalb der Bauzonen und findet deshalb im zu beurteilenden Fall keine Anwendung, da das Baugrundstück in der Bauzone liegt.</w:t>
      </w:r>
    </w:p>
    <w:p>
      <w:r>
        <w:rPr>
          <w:b/>
        </w:rPr>
        <w:t>E. 3.3</w:t>
      </w:r>
    </w:p>
    <w:p>
      <w:r>
        <w:t>Die Beschwerdeführer äussern Zweifel am Qualitätssicherungssystem der Netzbetreiber und bringen vor, die Grenzwerte der NISV würden Personen mit elektromagnetischer Hypersensibilität nur ungenügend schützen.</w:t>
      </w:r>
    </w:p>
    <w:p>
      <w:r>
        <w:rPr>
          <w:b/>
        </w:rPr>
        <w:t>E. 3.3.1</w:t>
      </w:r>
    </w:p>
    <w:p>
      <w:r>
        <w:t>Das Bundesgericht erwog im Urteil 1C_118/2010 vom 20. Oktober 2010 (in: URP 2010 S. 871) die Qualitätssicherungssysteme, welche die Mobilfunkbetreiber eingeführt hätten, dienten der Kontrolle, dass die bewilligten Parameter (äquivalente Strahlungsleistung ERP, Senderichtung) der Mobilfunkantennen im Betrieb eingehalten und die NISV-Grenzwerte nicht überschritten würden. Zwar seien die Qualitätssicherungssysteme noch mangelhaft, insgesamt erfüllten sie aber ihre Kontrollfunktion. Die Qualitätssicherungssysteme seien daher aus umweltschutzrechtlicher Sicht nicht zu beanstanden (Urteil 1C_118/2010 vom 20. Oktober 2010 E. 2.2, in: URP 2010 S. 871, mit Verweis auf Urteil 1C_282/2008 vom 7. April 2009 E. 3). Die pauschale Kritik der Beschwerdeführer gibt keinen Anlass, auf diese Rechtsprechung zurückzukommen.</w:t>
      </w:r>
    </w:p>
    <w:p>
      <w:r>
        <w:rPr>
          <w:b/>
        </w:rPr>
        <w:t>E. 3.3.2</w:t>
      </w:r>
    </w:p>
    <w:p>
      <w:r>
        <w:t>Das Bundesgericht hat die Anlage- und Immissionsgrenzwerte der NISV bisher stets als gesetzes- und verfassungskonform beurteilt. Im bereits erwähnten Urteil 1C_118/2010 vom 20. Oktober 2010 (in: URP 2010 S. 871) hielt das Bundesgericht fest, ein hinreichender Zusammenhang zwischen der Exposition durch Mobilfunkbasisstationen und schädlichen oder lästigen Einwirkungen sei bislang wissenschaftlich nicht belegt. Weder gebe es zurzeit allgemein anerkannte Kriterien für eine objektive Diagnose von Elektrosensibilität noch habe ein kausaler Zusammenhang zwischen elektromagnetischen Feldern und den mit Elektrosensibilität assoziierten Gesundheitsbeschwerden nachgewiesen werden können. Die noch bestehenden Wissenslücken rechtfertigten es nicht, die Grenzwerte der NISV als rechtswidrig zu beurteilen und den weiteren Bau von Mobilfunkantennen zu verbieten (Urteil 1C_118/2010 vom 20. Oktober 2010 E. 4.2.1 und 4.2.4, in: URP 2010 S. 871). In einem neueren Entscheid führte das Bundesgericht ergänzend aus, auch der im Mai 2012 im Auftrag des BAFU vom Schweizerischen Tropen- und Public Health-Institut (Swiss TPH) erstellte Synthesebericht "Elektromagnetische Hypersensibilität" halte zusammenfassend fest, dass es gegenwärtig keinen wissenschaftlichen Beleg dafür gebe, dass Personen, die sich als elektromagnetisch hypersensibel wahrnehmen, empfindlicher auf elektromagnetische Felder reagieren als die restliche Bevölkerung (Urteil 1C_31/2012 vom 6. Juni 2012 E. 4.1). Wie das BAFU in seiner Vernehmlassung vom 4. Juli 2013 unter Verweis auf die "Internationale statistische Klassifikation der Krankheiten und verwandter Gesundheitsprobleme (ICD-10) " dargelegt hat, ist elektromagnetische Hypersensibilität entgegen der Behauptung der Beschwerdeführer (bislang) auch nicht als Krankheit anerkannt.</w:t>
      </w:r>
    </w:p>
    <w:p>
      <w:r>
        <w:t>An der bisherigen Rechtsprechung ist deshalb festzuhalten.</w:t>
      </w:r>
    </w:p>
    <w:p>
      <w:r>
        <w:rPr>
          <w:b/>
        </w:rPr>
        <w:t>E. 3.4</w:t>
      </w:r>
    </w:p>
    <w:p>
      <w:r>
        <w:t>Weitere Rügen, welche den Begründungsanforderungen von Art. 42 Abs. 2 BGG genügen, erheben die Beschwerdeführer nicht. Es ist indes auch nicht ersichtlich, inwiefern die Vorinstanz Bundesrecht verletzt haben sollte. Vielmehr hat sie ihren Entscheid unter zutreffender Darstellung der bundesgerichtlichen Rechtsprechung eingehend und überzeugend begründet.</w:t>
      </w:r>
    </w:p>
    <w:p>
      <w:r>
        <w:rPr>
          <w:b/>
        </w:rPr>
        <w:t>E. 4</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Beschwerdegegnerin unter solidarischer Haftbarkeit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