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1C_360/2010 vom 26. Oktober 2010</w:t>
      </w:r>
    </w:p>
    <w:p>
      <w:r>
        <w:t>Bundesgericht, 2010-10-26, DE</w:t>
      </w:r>
    </w:p>
    <w:p>
      <w:r>
        <w:rPr>
          <w:b/>
        </w:rPr>
        <w:t xml:space="preserve">Quelle: </w:t>
      </w:r>
      <w:r>
        <w:t>https://mcp.opencaselaw.ch/entscheid/bger_1C_360_2010</w:t>
      </w:r>
    </w:p>
    <w:p>
      <w:r>
        <w:t>FR: TF 1C_360/2010 du 26 octobre 2010</w:t>
      </w:r>
    </w:p>
    <w:p>
      <w:r>
        <w:t>IT: TF 1C_360/2010 del 26 ottobre 2010</w:t>
      </w:r>
    </w:p>
    <w:p>
      <w:pPr>
        <w:pStyle w:val="Heading2"/>
      </w:pPr>
      <w:r>
        <w:t>Erwägungen</w:t>
      </w:r>
    </w:p>
    <w:p>
      <w:r>
        <w:rPr>
          <w:b/>
        </w:rPr>
        <w:t>E. 1</w:t>
      </w:r>
    </w:p>
    <w:p>
      <w:r>
        <w:t>Angefochten ist ein letztinstanzlicher kantonaler Endentscheid ( Art. 90 und Art. 86 Abs. 1 lit. d BGG ). Dieser erging im Rahmen eines Enteignungsverfahrens und betrifft somit eine öffentlich-rechtliche Angelegenheit ( Art. 82 lit. a BGG ). Ein Ausschlussgrund nach Art. 83 BGG liegt nicht vor. Am bundesgerichtlichen Verfahren beteiligen sich sämtliche Gesamteigentümer des Grundstücks KTN 97. Sie haben allesamt auch am vorinstanzlichen Verfahren teilgenommen, sind durch den angefochtenen Entscheid besonders berührt und haben ein schutzwürdiges Interesse an dessen Aufhebung oder Änderung ( Art. 89 Abs. 1 BGG ). Auf ihre Beschwerde ist einzutreten.</w:t>
      </w:r>
    </w:p>
    <w:p>
      <w:r>
        <w:rPr>
          <w:b/>
        </w:rPr>
        <w:t>E. 2</w:t>
      </w:r>
    </w:p>
    <w:p>
      <w:r>
        <w:t>Der Entscheid über die vorzeitige Besitzeseinweisung kann innert 10 Tagen nach seiner Zustellung beim Verwaltungsgericht mit Beschwerde angefochten werden.</w:t>
      </w:r>
    </w:p>
    <w:p>
      <w:r>
        <w:rPr>
          <w:b/>
        </w:rPr>
        <w:t>E. 2.1</w:t>
      </w:r>
    </w:p>
    <w:p>
      <w:r>
        <w:t>Die Beschwerdeführer rügen, die Vorinstanz habe § 3 Abs. 2 der Vollzugsverordnung des Kantons Schwyz vom 23. Dezember 1974 zum Enteignungsrecht (SRSZ 470.111; im Folgenden: VVzExprG) willkürlich angewendet. In sinngemässer Weise machen sie zudem eine willkürliche Anwendung von § 94 Abs. 3 der Gerichtsordnung des Kantons Schwyz vom 10. Mai 1974 (SRSZ 231.110; im Folgenden: GO) geltend. Zur Begründung führen sie an, es habe sich beim Beschluss der Schätzungskommission weder um eine vorzeitige Besitzeinweisung noch überhaupt um einen Entscheid im Rahmen eines Enteignungsverfahrens gehandelt. Vielmehr liege ein reiner Vollzugsakt bzw. Verwaltungsakt vor, habe doch die Schätzungskommission selbst dargelegt, dass sie sich auf einen rechtskräftigen Enteignungsentscheid stütze.</w:t>
      </w:r>
    </w:p>
    <w:p>
      <w:r>
        <w:rPr>
          <w:b/>
        </w:rPr>
        <w:t>E. 2.2</w:t>
      </w:r>
    </w:p>
    <w:p>
      <w:r>
        <w:t>Die von den Beschwerdeführern angesprochenen Bestimmungen haben folgenden Wortlaut:</w:t>
      </w:r>
    </w:p>
    <w:p>
      <w:r>
        <w:t>§ 3 VVzExprG</w:t>
      </w:r>
    </w:p>
    <w:p>
      <w:r>
        <w:t>1 Der Schätzungsentscheid kann innert 20 Tagen nach seiner Zustellung durch Klage beim Verwaltungsgericht angefochten werden.</w:t>
      </w:r>
    </w:p>
    <w:p>
      <w:r>
        <w:rPr>
          <w:b/>
        </w:rPr>
        <w:t>E. 2.3</w:t>
      </w:r>
    </w:p>
    <w:p>
      <w:r>
        <w:t>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135 V 2 E. 1.3 S. 4 f. mit Hinweisen).</w:t>
      </w:r>
    </w:p>
    <w:p>
      <w:r>
        <w:rPr>
          <w:b/>
        </w:rPr>
        <w:t>E. 2.4</w:t>
      </w:r>
    </w:p>
    <w:p>
      <w:r>
        <w:t>Das Verwaltungsgericht hielt im angefochtenen Entscheid fest, beim Beschluss der Schätzungskommission handle es sich um einen im Rahmen der vorzeitigen Besitzeseinweisung getroffenen Beschluss über die durch den Kanton zu entrichtende mutmassliche Entschädigungssumme. Dieser Beschluss könne - wie auch der spätere Beschluss über die vorzeitige Besitzeseinweisung - gemäss § 3 Abs. 2 VVzExprG innert 10 Tagen nach Zustellung beim Verwaltungsgericht angefochten werden. In seiner Vernehmlassung im bundesgerichtlichen Verfahren ergänzt es, die Beschwerde wäre selbst bei Anwendung der 20-tägigen Frist gemäss § 3 Abs. 1 VVzExprG zu spät erfolgt gewesen. Zudem handle es sich klarerweise um eine Enteignungssache, weshalb die Gerichtsferien nach § 94 Abs. 3 GO keine Anwendung fänden.</w:t>
      </w:r>
    </w:p>
    <w:p>
      <w:r>
        <w:t>Diese Erwägungen lassen keine Willkür erkennen. Bereits in einem früheren, ebenfalls die Beschwerdeführer betreffenden Verfahren hatte das Verwaltungsgericht ausgeführt, das Enteignungsverfahren sei zweistufig. In einer ersten Verfahrensstufe werde entschieden, ob und was enteignet werden dürfe. In einer zweiten Stufe erfolge das Schätzungsverfahren vor der Schätzungskommission (vgl. Urteil des Bundesgerichts 1C_142/2009 vom 10. September 2009 E. 2.1). Die Auffassung der Beschwerdeführer, das Verfahren sei bereits nach der ersten Verfahrensstufe abgeschlossen, trifft demnach nicht zu. Sie findet denn auch keine Grundlage im Expropriationsgesetz des Kantons Schwyz vom 1. Dezember 1870 (SRSZ 470.100; im Folgenden: ExprG). Hinzuweisen ist in diesem Zusammenhang auf § 3bis Abs. 3 ExprG, woraus hervorgeht, dass im Zeitpunkt einer allfälligen vorzeitigen Besitzesergreifung die Entschädigungssumme noch nicht definitiv festgelegt ist. Aus dieser Bestimmung erhellt weiter, dass die Festsetzung der mutmasslichen Entschädigung zum Verfahren der vorzeitigen Besitzesergreifung gehört. Dass das Verwaltungsgericht den Beschluss der Schätzungskommission als Entscheid über die vorzeitige Besitzeseinweisung im Sinne von 3 § Abs. 2 VVzExprG und als Enteignungssache im Sinne von § 94 Abs. 3 GO qualifizierte, kann vor diesem Hintergrund nicht als willkürlich bezeichnet werden. Die Rüge der Beschwerdeführer erweist sich damit als unbegründet.</w:t>
      </w:r>
    </w:p>
    <w:p>
      <w:r>
        <w:t>3.</w:t>
      </w:r>
    </w:p>
    <w:p>
      <w:r>
        <w:rPr>
          <w:b/>
        </w:rPr>
        <w:t>E. 3</w:t>
      </w:r>
    </w:p>
    <w:p>
      <w:r>
        <w:t>Die Partei, welche gegen den Schätzungsentscheid keine Klage erhoben hat, kann innert 20 Tagen nach Zustellung der Klage Widerklage erheben</w:t>
      </w:r>
    </w:p>
    <w:p>
      <w:r>
        <w:rPr>
          <w:b/>
        </w:rPr>
        <w:t>E. 3.1</w:t>
      </w:r>
    </w:p>
    <w:p>
      <w:r>
        <w:t>Die Beschwerdeführer argumentieren weiter, selbst wenn von einem Fristversäumnis auszugehen sei, könne dieses ihnen nicht vorgeworfen werden. Vielmehr hätte die Schätzungskommission darauf hinweisen müssen, dass die Gerichtsferien nicht gelten. Einem Laien könne nicht zugemutet werden, nach der Lektüre des Expropriationsgesetzes und der Vollzugsverordnung noch weitere verfahrensrechtliche Vorschriften zu studieren.</w:t>
      </w:r>
    </w:p>
    <w:p>
      <w:r>
        <w:t>Die Ausführungen des Verwaltungsgerichts zur kantonalrechtlichen Regelung über die Fristwiederherstellung (§ 129 Abs. 1 GO) beanstanden die Beschwerdeführer nicht. Ihre Kritik kann aber sinngemäss als Vorwurf des überspitzten Formalismus interpretiert werden (vgl. Urteil 8C_50/2007 vom 4. September 2007 E. 4.2 mit Hinweis).</w:t>
      </w:r>
    </w:p>
    <w:p>
      <w:r>
        <w:rPr>
          <w:b/>
        </w:rPr>
        <w:t>E. 3.2.1</w:t>
      </w:r>
    </w:p>
    <w:p>
      <w:r>
        <w:t>Überspitzter Formalismus als besondere Form der Rechtsverweigerung ist gegeben,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 BGE 135 I 6 E. 2.1 S. 9 mit Hinweisen).</w:t>
      </w:r>
    </w:p>
    <w:p>
      <w:r>
        <w:t>Zur Wiederherstellung von Fristen gemäss den bundesrechtlichen Bestimmungen von Art. 35 Abs. 1 OG und Art. 24 Abs. 1 VwVG (SR 172.021) hat das Bundesgericht festgehalten, dass die Wiederherstellung nur bei klarer Schuldlosigkeit des Gesuchstellers bzw. seines Vertreters zu gewähren ist. Typischer Anwendungsfall ist ein Krankheitszustand, der jegliches auf die Fristwahrung gerichtetes Handeln wie etwa den Beizug eines (Ersatz-)Vertreters verunmöglicht. Blosse Unkenntnis von Rechtsregeln oder ein Irrtum über deren Tragweite kann dagegen grundsätzlich nicht Anlass zur Fristwiederherstellung bilden. Eine Ausnahme gilt dann, wenn der Irrtum durch eine behördliche Auskunft hervorgerufen wurde oder wenn es einer Partei unmöglich war, sich entweder durch eigene Bemühungen über die Rechtslage zu informieren oder eine rechtskundige Person beizuziehen (Urteile 2C_429/2007 vom 4. Oktober 2007 E. 2.2.2; 2A.175/2006 vom 11. Mai 2006 E. 2.2.2; je mit Hinweisen).</w:t>
      </w:r>
    </w:p>
    <w:p>
      <w:r>
        <w:rPr>
          <w:b/>
        </w:rPr>
        <w:t>E. 3.2.2</w:t>
      </w:r>
    </w:p>
    <w:p>
      <w:r>
        <w:t>Die Beschwerdeführer berufen sich zu Unrecht auf eine falsche oder unvollständige Rechtsmittelbelehrung im Entscheid der Schätzungskommission. Aus der von der Vorinstanz zitierten Bestimmung von § 32 Abs. 1 der kantonalen Verordnung vom 6. Juni 1974 über die Verwaltungsrechtspflege (SRSZ 234.110) ergibt sich, dass die Rechtsmittelbelehrung das zulässige Rechtsmittel, die zuständige kantonale Rechtsmittelinstanz und die Rechtsmittelfrist nennt. Ein Hinweis auf die Geltung bzw. Nichtgeltung von Gerichtsferien ist nicht vorgesehen. Dies trifft übrigens auch auf die bundesrechtlichen Verfahrensvorschriften von Art. 112 Abs. 1 lit. d BGG oder Art. 35 VwVG zu. Wenn das Verwaltungsgericht vor diesem Hintergrund festhielt, die Rechtsmittelbelehrung sei korrekt gewesen, so kann ihm kein überspitzter Formalismus vorgeworfen werden.</w:t>
      </w:r>
    </w:p>
    <w:p>
      <w:r>
        <w:rPr>
          <w:b/>
        </w:rPr>
        <w:t>E. 3.2.3</w:t>
      </w:r>
    </w:p>
    <w:p>
      <w:r>
        <w:t>Schliesslich lässt sich auch nicht behaupten, den Beschwerdeführern sei es unmöglich gewesen, sich über die Rechtslage zu informieren. Dies obwohl § 94 Abs. 3 GO Enteignungssachen erst seit dem 1. Juli 2008 von den sonst geltenden Gerichtsferien ausnimmt. Die Vorinstanz weist auf die ordnungsgemässe Publikation dieser Gesetzesrevision im Amtsblatt hin. Gemäss § 3 Abs. 1 des Gesetzes des Kantons Schwyz vom 13. Mai 1987 über die amtlichen Veröffentlichungen (SRSZ 140.200) gilt mit dem Tag der amtlichen Veröffentlichung deren Inhalt als bekannt. Gemäss § 8 Abs. 2 dieses Gesetzes wird zudem die systematische Gesetzessammlung jährlich nachgeführt. Es ist deshalb davon auszugehen (und wird von den Beschwerdeführern nicht bestritten), dass sich die neue Regelung im Zeitpunkt der Zustellung des Beschlusses der Schätzungskommission auch aus der systematischen Gesetzessammlung ergab. Auch in dieser Hinsicht hat die Vorinstanz deshalb nicht überspitzt formalistisch gehandelt, wenn sie die Fristwiederherstellung ablehnte.</w:t>
      </w:r>
    </w:p>
    <w:p>
      <w:r>
        <w:rPr>
          <w:b/>
        </w:rPr>
        <w:t>E. 4</w:t>
      </w:r>
    </w:p>
    <w:p>
      <w:r>
        <w:t>Zusammenfassend ergibt sich, dass die Beschwerde abzuweisen ist. Diesem Ausgang des Verfahrens entsprechend sind die Gerichtskosten den unterliegenden Beschwerdeführern aufzuerlegen ( Art. 66 Abs. 1 BGG ). Weder die Beschwerdeführer noch der Kanton Schwyz, der in seinem amtlichen Wirkungskreis obsiegt hat, haben Anspruch auf eine Parteientschädigung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