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359/2008 vom 23. Februar 2009</w:t>
      </w:r>
    </w:p>
    <w:p>
      <w:r>
        <w:t>Bundesgericht, 2009-02-23, FR</w:t>
      </w:r>
    </w:p>
    <w:p>
      <w:r>
        <w:rPr>
          <w:b/>
        </w:rPr>
        <w:t xml:space="preserve">Quelle: </w:t>
      </w:r>
      <w:r>
        <w:t>https://mcp.opencaselaw.ch/entscheid/bger_1C_359_2008</w:t>
      </w:r>
    </w:p>
    <w:p>
      <w:r>
        <w:t>FR: TF 1C 359/2008 du 23 février 2009</w:t>
      </w:r>
    </w:p>
    <w:p>
      <w:r>
        <w:t>IT: TF 1C 359/2008 del 23 febbraio 2009</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pour une durée indéterminée ? et il a un intérêt digne de protection à son annulation; il a donc la qualité pour recourir au sens de l' art. 89 al. 1 LTF . Pour le surplus, interjeté en temps utile et dans les formes requises contre une décision finale prise en dernière instance cantonale non susceptible de recours devant le Tribunal administratif fédéral, le recours satisfait aux exigences des art. 42, 86 al. 1 let . d, 90 et 100 al. 1 LTF et est recevable comme recours en matière de droit public.</w:t>
      </w:r>
    </w:p>
    <w:p>
      <w:r>
        <w:rPr>
          <w:b/>
        </w:rPr>
        <w:t>E. 2</w:t>
      </w:r>
    </w:p>
    <w:p>
      <w:r>
        <w:t>Le recourant reproche au Tribunal administratif d'avoir fait preuve d'arbitraire dans l'établissement des faits et l'appréciation des preuves. Il lui fait en particulier grief de n'avoir pas tenu compte de l'ordonnance de la Chambre d'accusation mettant en doute la version des faits de B.________. Or, c'est sur cette version erronée que se fonde l'expertise de l'IUML, de sorte que le Tribunal administratif ne pouvait pas se fier aveuglément aux conclusions des experts.</w:t>
      </w:r>
    </w:p>
    <w:p>
      <w:r>
        <w:rPr>
          <w:b/>
        </w:rPr>
        <w:t>E. 2.1</w:t>
      </w:r>
    </w:p>
    <w:p>
      <w:r>
        <w:t>Les constatations de faits importants pour le jugement de la cause ne peuvent être critiquées que si elles ont été faites en violation du droit au sens de l' art. 95 LTF ou de manière manifestement inexacte ( art. 97 al. 1 LTF ), ce que le recourant doit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Le retrait du permis de conduire pour une durée indéterminée en application de l' art. 16d LCR porte une atteinte grave à la personnalité de l'automobiliste concerné; il doit donc reposer sur une instruction approfondie des circonstances déterminantes ( ATF 133 II 384 consid. 3.1 p. 388).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Selon la jurisprudence, le juge ne peut s'écarter de l'avis d'un expert judiciaire que s'il a de sérieux motifs de le faire. Il lui incombe d'apprécier les preuves et de résoudre les questions juridiques qui en découlent. Aussi lui appartient-il d'examiner, sur le vu des preuves et des allégués des parties, s'il y a des motifs suffisants de douter de l'exactitude de l'expertise. Si tel est le cas, il doit recueillir des preuves complémentaires pour tenter de dissiper ces doutes. A défaut, en se fondant sur une expertise non concluante, il peut commettre une appréciation arbitraire des preuves ( ATF 133 II 384 consid. 4.2.3 p. 391; 118 Ia 144 consid. 1c p. 146).</w:t>
      </w:r>
    </w:p>
    <w:p>
      <w:r>
        <w:rPr>
          <w:b/>
        </w:rPr>
        <w:t>E. 2.3</w:t>
      </w:r>
    </w:p>
    <w:p>
      <w:r>
        <w:t>En l'espèce, les faits sur lesquels porte la contestation sont déterminants pour l'issue du litige, puisqu'il s'agit des éléments qui fondent la décision de retrait du permis pour inaptitude à la conduite. Le recourant est dès lors recevable à critiquer la constatation de ces faits. Devant le Tribunal administratif, il mettait en doute l'exactitude de l'expertise de l'IUML, au motif que celle-ci se fondait sur des faits qui n'avaient pas été démontrés. Les experts tenaient en effet pour avérées certaines accusations de B.________ qui étaient contestées. Le recourant a encore envoyé au Tribunal administratif l'ordonnance de la Chambre d'accusation du 14 mai 2008, constatant l'absence de prévention suffisante et relevant que ni le coup de matraque ni la tentative de renverser B.________ n'avaient été établis. Sur la base de ces éléments, les juges précédents auraient dû éprouver des doutes quant à la pertinence de l'expertise litigieuse. En effet, celle-ci commence par un exposé des faits retenant que le recourant "ne s'est pas arrêté à un signal « stop » et a failli heurter un autre usager de la route au guidon d'un motocycle", qu'il "s'est mis à insulter le motocycliste puis l'a agressé à l'aide d'une matraque en bois, lui occasionnant un traumatisme crânien" et qu'il a "encore heurté une personne qui tentait de l'arrêter en se mettant devant son véhicule". Il ressort donc de l'expertise que les accusations de B.________ sont tenues pour avérées, les experts parlant plus loin de "l'infraction commise", en précisant que l'expertisé "n'admet qu'une partie des faits qui lui sont reprochés". De même, les conclusions de l'expertise mentionnent que "l'anamnèse routière révèle que, en mai 2006, M. A.________ s'est violemment opposé à un autre usager de la route qui a déposé plainte pour coups et blessures". Il est évident que cet état de fait a joué un rôle dans l'analyse des experts, notamment en ce qui concerne le "potentiel de dangerosité hétéro-agressif" diagnostiqué chez le recourant. On peut donc légitimement douter que les experts seraient arrivés à la même conclusion s'ils avaient su qu'aucune infraction ne pouvait être retenue contre le recourant et que les faits susmentionnés reposaient sur des accusations qui n'ont pas été établies. L'autre élément sur lequel semble se fonder la conclusion d'inaptitude à la conduite est le "trouble de la personnalité sévère, de type paranoïaque" décelé chez le recourant. L'expertise n'explique cependant pas en quoi cette pathologie serait de nature à contre-indiquer la conduite d'une automobile, alors que le recourant est titulaire du permis de conduire depuis 1970 et ne présente aucun antécédent. Il est dès lors douteux que l'expertise ait une valeur probante conforme aux exigences susmentionnées. Au demeurant, ce diagnostic apparaît également biaisé, puisqu'il part notamment du principe que l'expertisé nourri des idées délirantes à thème de persécution, en relation avec un complot orchestré par la police. Or, il ne faut pas perdre de vue que l'individu avec lequel le recourant a eu une altercation était un policier en congé, que celui-ci a déposé une plainte pénale à la suite de laquelle le recourant a été arrêté par la police judiciaire, qui lui a retiré son permis le lendemain et qui a procédé à une visite de son domicile, où des objets ont été saisis. Etant donné que cet impressionnant cortège de mesures - sans compter la procédure administrative et l'obligation de se soumettre à une expertise psychiatrique - découle d'accusations qui n'ont pas pu être étayées, il est compréhensible que le recourant se soit senti victime d'un certain acharnement de la part des autorités, en particulier de la police. L'expertise litigieuse n'ayant pas pris en considération ce qui précède, les conclusions de la procédure pénale étant intervenues ultérieurement, son exactitude apparaissait douteuse pour ce motif également.</w:t>
      </w:r>
    </w:p>
    <w:p>
      <w:r>
        <w:rPr>
          <w:b/>
        </w:rPr>
        <w:t>E. 2.4</w:t>
      </w:r>
    </w:p>
    <w:p>
      <w:r>
        <w:t>Ainsi, en omettant de prendre en compte les éléments exposés ci-dessus ainsi que le contenu de l'ordonnance de la Chambre d'accusation du 14 mai 2008 et en se fondant uniquement sur l'expertise de l'IULM alors que les experts n'avaient pas eu connaissance des résultats de la procédure pénale, le Tribunal administratif a procédé à une appréciation arbitraire des preuves. Il s'ensuit que le recours doit être admis et l'arrêt attaqué annulé.</w:t>
      </w:r>
    </w:p>
    <w:p>
      <w:r>
        <w:rPr>
          <w:b/>
        </w:rPr>
        <w:t>E. 3</w:t>
      </w:r>
    </w:p>
    <w:p>
      <w:r>
        <w:t>Vu le sort de la procédure pénale, on peut se demander si le recourant doit toujours être soumis à une expertise psychiatrique. Les faits qui ont motivé cette mesure ont en effet été remis en question par le classement de la plainte pénale et l'ordonnance de la Chambre d'accusation du 14 mai 2008. Cependant, malgré les vices dont il est affecté, le rapport d'expertise litigieux fait naître un certain doute quant à l'aptitude à la conduite du recourant. Il se justifie donc d'éclaircir cette question en ordonnant une nouvelle expertise, qui sera conduite par d'autres experts. En revanche, il est douteux que ce seul élément soit suffisant pour justifier une mesure de retrait préventif du permis de conduire - sur la base de l'art. 30 de l'ordonnance du 27 octobre 1976 réglant l'admission à la circulation routière (OAC; RS 741.51) - en attendant le dépôt du nouveau rapport d'expertise. Une telle mesure s'impose en effet uniquement si des indices objectifs autorisent à penser que le conducteur concerné représente un risque particulier pour les autres usagers de la route et font douter sérieusement de sa capacité à conduire (cf. ATF 125 II 492 consid. 2b p. 495 s., 396 consid. 3 p. 401). De tels indices paraissent faire défaut en l'espèce, le recourant étant en outre titulaire du permis depuis 1970 sans qu'on lui connaisse aucun antécédent. Il appartiendra cependant au Tribunal administratif de trancher cette question, en examinant si le maintien de la mesure de retrait préventif est encore justifié au vu des nouvelles circonstances exposées ci-dessus ou si le permis de conduire du recourant doit lui être restitué en attendant les conclusions de la nouvelle expertise. Compte tenu de l'atteinte importante causée par cette mesure, qui dure déjà depuis près de trois ans, le Tribunal administratif est invité à statuer sur ce point dans les meilleurs délais.</w:t>
      </w:r>
    </w:p>
    <w:p>
      <w:r>
        <w:rPr>
          <w:b/>
        </w:rPr>
        <w:t>E. 4</w:t>
      </w:r>
    </w:p>
    <w:p>
      <w:r>
        <w:t>Le recours doit donc être admis et l'arrêt attaqué annulé. La cause est renvoyée au Tribunal administratif pour qu'il mette en oeuvre les mesures d'instruction nécessaires et qu'il statue sur le maintien éventuel du retrait préventif. Il n'y a pas lieu de percevoir des frais judiciaires ( art. 66 al. 4 LTF ). Le recourant, assisté d'un avocat, a droit à des dépens, à la charge de l'Etat de Genève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