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358/2008 vom 28. Januar 2009</w:t>
      </w:r>
    </w:p>
    <w:p>
      <w:r>
        <w:t>Bundesgericht, 2009-01-28, FR</w:t>
      </w:r>
    </w:p>
    <w:p>
      <w:r>
        <w:rPr>
          <w:b/>
        </w:rPr>
        <w:t xml:space="preserve">Quelle: </w:t>
      </w:r>
      <w:r>
        <w:t>https://mcp.opencaselaw.ch/entscheid/bger_1C_358_2008</w:t>
      </w:r>
    </w:p>
    <w:p>
      <w:r>
        <w:t>FR: TF 1C 358/2008 du 28 janvier 2009</w:t>
      </w:r>
    </w:p>
    <w:p>
      <w:r>
        <w:t>IT: TF 1C 358/2008 del 28 gennaio 2009</w:t>
      </w:r>
    </w:p>
    <w:p>
      <w:pPr>
        <w:pStyle w:val="Heading2"/>
      </w:pPr>
      <w:r>
        <w:t>Regeste</w:t>
      </w:r>
    </w:p>
    <w:p>
      <w:r>
        <w:t>transmission par SMS des coordonnées du détenteur d'un véhicule à partir du numéro de plaques d'immatriculation | Construction des routes et circulation routière</w:t>
      </w:r>
    </w:p>
    <w:p>
      <w:pPr>
        <w:pStyle w:val="Heading2"/>
      </w:pPr>
      <w:r>
        <w:t>Erwägungen</w:t>
      </w:r>
    </w:p>
    <w:p>
      <w:r>
        <w:rPr>
          <w:b/>
        </w:rPr>
        <w:t>E. 1</w:t>
      </w:r>
    </w:p>
    <w:p>
      <w:r>
        <w:t>Le Tribunal fédéral examine d'office et librement la recevabilité des recours dont il est saisi ( ATF 134 III 235 consid. 1 p. 236).</w:t>
      </w:r>
    </w:p>
    <w:p>
      <w:r>
        <w:rPr>
          <w:b/>
        </w:rPr>
        <w:t>E. 1.1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 recourant est directement touché par le prononcé d'irrecevabilité de l'arrêt attaqué et a un intérêt digne de protection à en obtenir l'annulation. Il a dès lors qualité pour recourir au sens de l' art. 89 al. 1 LTF .</w:t>
      </w:r>
    </w:p>
    <w:p>
      <w:r>
        <w:rPr>
          <w:b/>
        </w:rPr>
        <w:t>E. 1.2</w:t>
      </w:r>
    </w:p>
    <w:p>
      <w:r>
        <w:t>Le recourant ne saurait prendre des conclusions allant au-delà de l'objet du litige. Or, en l'espèce, les juges cantonaux ont refusé d'entrer en matière sur son recours. Seule la question de la recevabilité du recours cantonal peut donc être portée devant le Tribunal fédéral qui n'a, à ce stade, pas à examiner le fond de la contestation. En cas d'admission du recours, la cause devrait être renvoyée au Tribunal administratif pour qu'il entre en matière sur le recours et statue au fond. En conséquence, seules sont admissibles les conclusions tendant à l'annulation de l'arrêt attaqué, à l'exclusion de celles sur le fond, et des griefs à leur appui, qui sont irrecevables (cf. ATF 133 IV 119 consid. 6.3 p. 121).</w:t>
      </w:r>
    </w:p>
    <w:p>
      <w:r>
        <w:rPr>
          <w:b/>
        </w:rPr>
        <w:t>E. 1.3</w:t>
      </w:r>
    </w:p>
    <w:p>
      <w:r>
        <w:t>Le prononcé d'irrecevabilité est fondé sur le droit cantonal de procédure. Or, sous réserve des cas visés à l' art. 95 let . c à e LTF, la violation du droit cantonal ne constitue pas un motif de recours. Il est néanmoins possible de faire valoir que l'application des dispositions cantonales consacre une violation du droit fédéral au sens de l' art. 95 let. a LTF , telle que l'interdiction de l'arbitraire ( art. 9 Cst. ). Le Tribunal fédéral n'examine cependant un tel moyen que s'il est formulé conformément aux exigences de motivation qualifiées prévues à l' art. 106 al. 2 LTF (cf. ATF 133 III 639 consid. 2 p. 639 s.; 133 II 249 consid. 1.4.2 p. 254). Il n'est pas certain que le recours, essentiellement appellatoire, satisfasse auxdites exigences. La question peut cependant demeurer indécise, dès lors que le recours doit, quoiqu'il en soit, être rejeté.</w:t>
      </w:r>
    </w:p>
    <w:p>
      <w:r>
        <w:rPr>
          <w:b/>
        </w:rPr>
        <w:t>E. 2</w:t>
      </w:r>
    </w:p>
    <w:p>
      <w:r>
        <w:t>Sans se plaindre explicitement d'arbitraire, le recourant reproche au Tribunal administratif d'avoir considéré que l'annonce par voie de presse de la possibilité d'accéder par SMS aux données personnelles d'un détenteur de véhicule ne constituait pas une décision au sens de l' art. 4 LPA .</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w:t>
      </w:r>
    </w:p>
    <w:p>
      <w:r>
        <w:rPr>
          <w:b/>
        </w:rPr>
        <w:t>E. 2.2</w:t>
      </w:r>
    </w:p>
    <w:p>
      <w:r>
        <w:t>A teneur de l' art. 4 al. 1 LPA ,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des obligations (let. c)". Cette disposition définit la notion de décision de la même manière que l'art. 5 al. 1 de la loi fédérale sur la procédure administrative (PA; RS 172.021; Benoît Bovay, Procédure administrative, 2000, p. 77). La notion de décision implique donc un rapport juridique obligatoire et contraignant entre l'autorité et l'administré (cf. ATF 121 II 473 consid. 2a p. 477). En revanche, de simples déclarations, comme des opinions, des communications, des prises de position, des recommandations et des renseignements n'entrent pas dans la catégorie des décisions, faute de caractère juridique contraignant (cf. arrêt 1P.315/1998 du 7 décembre 1998 consid. 1d, in Pra 1999 p. 481; Häfelin/Müller/ Uhlmann, Allgemeines Verwaltungsrecht, 5e éd., 2006, p. 182 ss et les références cités; Tschannen/Zimmerli, Allgemeines Verwaltungsrecht, 2e éd., 2005, p. 215 ss; Pierre Moor, Droit administratif, vol. II, p. 156; Bovay, op. cit., p. 259 ss).</w:t>
      </w:r>
    </w:p>
    <w:p>
      <w:r>
        <w:rPr>
          <w:b/>
        </w:rPr>
        <w:t>E. 2.3</w:t>
      </w:r>
    </w:p>
    <w:p>
      <w:r>
        <w:t>En l'espèce, l'information par voie de presse sur le système de transmission des données personnelles d'un détenteur automobile, mis en place par le SAN, ne peut être qualifiée de mesure individuelle et concrète; elle ne crée aucun rapport juridique obligatoire, ne touche pas le recourant de manière directe, concrète et dans une mesure et avec une intensité plus grandes que la généralité des administrés. Le recours, formé dans l'intérêt général, s'apparente ainsi plutôt à une action populaire qui est prohibée. Le Tribunal administratif pouvait dès lors considérer sans arbitraire que ladite communication par voie de presse ne constituait pas une décision sujette à recours au sens de l' art. 4 al. 1 LPA . Par ailleurs, citant Moor (op. cit., p. 157), le recourant se prévaut à tort du fait qu'un renseignement fourni par l'administration doit être qualifié de décision lorsqu'il s'agit d'une information communiquée à un tiers sur requête de celui-ci et portant sur un administré déterminé. En effet, l'annonce par voie de presse, seul objet litigieux devant le Tribunal administratif, ne comporte pas les coordonnées d'un administré à un tiers: elle informe sur un changement de pratique administrative concernant l'accès aux données relatives aux détenteurs de véhicule, qui peuvent être communiquées à chacun, conformément à l'art. 126 al. 1 de l'ordonnance du 27 octobre 1976 réglant l'admission des personnes et des véhicules à la circulation routière (OAC, RS 741.51).</w:t>
      </w:r>
    </w:p>
    <w:p>
      <w:r>
        <w:rPr>
          <w:b/>
        </w:rPr>
        <w:t>E. 3</w:t>
      </w:r>
    </w:p>
    <w:p>
      <w:r>
        <w:t>Il s'ensuit que le recours doit être rejeté, dans la mesure où il est recevable. Le recourant, qui succombe, doit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