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1C_357/2025 vom 2. Oktober 2025</w:t>
      </w:r>
    </w:p>
    <w:p>
      <w:r>
        <w:t>Bundesgericht, 2025-10-02, DE</w:t>
      </w:r>
    </w:p>
    <w:p>
      <w:r>
        <w:rPr>
          <w:b/>
        </w:rPr>
        <w:t xml:space="preserve">Quelle: </w:t>
      </w:r>
      <w:r>
        <w:t>https://mcp.opencaselaw.ch/entscheid/bger_1C_357_2025</w:t>
      </w:r>
    </w:p>
    <w:p>
      <w:r>
        <w:t>FR: TF 1C_357/2025 du 2 octobre 2025</w:t>
      </w:r>
    </w:p>
    <w:p>
      <w:r>
        <w:t>IT: TF 1C_357/2025 del 2 ottobre 2025</w:t>
      </w:r>
    </w:p>
    <w:p>
      <w:pPr>
        <w:pStyle w:val="Heading2"/>
      </w:pPr>
      <w:r>
        <w:t>Erwägungen</w:t>
      </w:r>
    </w:p>
    <w:p>
      <w:r>
        <w:rPr>
          <w:b/>
        </w:rPr>
        <w:t>E. 1.1</w:t>
      </w:r>
    </w:p>
    <w:p>
      <w:r>
        <w:t>Gemäss Art. 42 Abs. 3 BGG ist der Entscheid, gegen den sich die Beschwerde richtet, beizulegen. Dies hat der Beschwerdeführer nicht getan. Gestützt auf seine Ausführungen ist davon auszugehen, dass er seine Rechtsschrift wegen einer Mitteilung auf der Website des Friedensrichteramts des Bezirks Arbon verfasst hat. Obwohl er in seinem Antrag von einer Verfügung (im Singular) spricht (ohne diese näher zu bezeichnen), liegt auf der Hand, dass sich seine Kritik nicht nur gegen die jüngst erfolgte Ernennung von Andrea Blust richtet, sondern auch gegen diejenige von Thomas Huber. Nach Treu und Glauben ist deshalb davon auszugehen, dass mit der Beschwerde sowohl der Entscheid vom 23. April 2025 als auch derjenige vom 18. Juli 2024 angefochten werden soll. Diese beiden Entscheide hat die Vorinstanz dem Bundesgericht zusammen mit ihrer Vernehmlassung eingereicht.</w:t>
      </w:r>
    </w:p>
    <w:p>
      <w:r>
        <w:rPr>
          <w:b/>
        </w:rPr>
        <w:t>E. 1.2</w:t>
      </w:r>
    </w:p>
    <w:p>
      <w:r>
        <w:t>Der Beschwerdeführer rügt eine Verletzung seiner politischen Rechte, indem er geltend macht, dass die Einsetzung eines ausserordentlichen Stellvertreters bzw. einer Stellvertreterin für das Friedensrichteramt eine Volksabstimmung voraussetze. Es handelt sich insoweit um eine Stimmrechtsbeschwerde gemäss Art. 82 lit. c BGG (vgl. BGE 97 I 24 E. 2; Urteile 1C_257/2021 vom 6. September 2021 E. 1.1; 1P.487/2003 vom 27. Januar 2004 E. 1.1, nicht publ. in BGE 130 I 106 ). Allerdings steht das Beschwerderecht in Stimmrechtssachen nur Personen zu, die in der betreffenden Angelegenheit stimmberechtigt sind ( Art. 89 Abs. 3 BGG ). Die Vorinstanz hält fest, diese Voraussetzung erfülle der Beschwerdeführer nicht, da er nicht im Bezirk Arbon wohne und damit nicht wahlberechtigt sei (vgl. dazu § 20 Abs. 1 Ziff. 6 und Abs. 3 Ziff. 3 KV/TG [SR 131.228]). Der Beschwerdeführer widerspricht dieser Feststellung nicht. Da er seine Stimmberechtigung in der betreffenden Angelegenheit nicht belegt, ist er zur Beschwerde gemäss Art. 82 lit. c BGG nicht legitimiert (vgl. BGE 151 I 41 E. 5.3 mit Hinweisen).</w:t>
      </w:r>
    </w:p>
    <w:p>
      <w:r>
        <w:rPr>
          <w:b/>
        </w:rPr>
        <w:t>E. 1.3</w:t>
      </w:r>
    </w:p>
    <w:p>
      <w:r>
        <w:t>Ausser Betracht fällt auch die Beschwerde gegen Entscheide in Angelegenheiten des öffentlichen Rechts nach Art. 82 lit. a BGG . Diese Form der Beschwerde setzt unter anderem voraus, dass die beschwerdeführende Person durch den angefochtenen Entscheid oder Erlass besonders berührt ist und ein schutzwürdiges Interesse an dessen Aufhebung oder Änderung hat ( Art. 89 Abs. 1 lit. b und c BGG ). Die beschwerdeführende Person muss nach der bundesgerichtlichen Praxis zu Art. 89 Abs. 1 BGG aus dem beantragten Verfahrensausgang einen praktischen Nutzen dergestalt ziehen, dass ihre tatsächliche oder rechtliche Situation beeinflusst werden kann ( BGE 147 I 1 E. 3.4 mit Hinweisen). Im soeben zitierten Urteil bejahte das Bundesgericht das Beschwerderecht eines nicht wiedergewählten Richters, der mit Beschwerde in öffentlich-rechtlichen Angelegenheiten seine Wiederwahl durch das Kantonsparlament beantragt hatte (s. a.a.O.). Im vorliegenden Fall ist ein solcher praktischer Nutzen dagegen nicht dargetan und auch nicht erkennbar.</w:t>
      </w:r>
    </w:p>
    <w:p>
      <w:r>
        <w:rPr>
          <w:b/>
        </w:rPr>
        <w:t>E. 2</w:t>
      </w:r>
    </w:p>
    <w:p>
      <w:r>
        <w:t>Auf die Beschwerde ist aus diesen Gründen nicht einzutreten. Bei diesem Ausgang kann offenbleiben, ob die Beschwerde rechtzeitig eingereicht (vgl. Art. 100 Abs. 1 BGG ) und der kantonale Instanzenzug erschöpft wurde (vgl. Art. 86 und 88 BGG ).</w:t>
      </w:r>
    </w:p>
    <w:p>
      <w:r>
        <w:t>Die Gerichtskosten sind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