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1C_357/2022 vom 30. Juni 2022</w:t>
      </w:r>
    </w:p>
    <w:p>
      <w:r>
        <w:t>Bundesgericht, 2022-06-30, DE</w:t>
      </w:r>
    </w:p>
    <w:p>
      <w:r>
        <w:rPr>
          <w:b/>
        </w:rPr>
        <w:t xml:space="preserve">Quelle: </w:t>
      </w:r>
      <w:r>
        <w:t>https://mcp.opencaselaw.ch/entscheid/bger_1C_357_2022</w:t>
      </w:r>
    </w:p>
    <w:p>
      <w:r>
        <w:t>FR: TF 1C_357/2022 du 30 juin 2022</w:t>
      </w:r>
    </w:p>
    <w:p>
      <w:r>
        <w:t>IT: TF 1C_357/2022 del 30 giugno 2022</w:t>
      </w:r>
    </w:p>
    <w:p>
      <w:pPr>
        <w:pStyle w:val="Heading2"/>
      </w:pPr>
      <w:r>
        <w:t>Erwägungen</w:t>
      </w:r>
    </w:p>
    <w:p>
      <w:r>
        <w:rPr>
          <w:b/>
        </w:rPr>
        <w:t>E. 1</w:t>
      </w:r>
    </w:p>
    <w:p>
      <w:r>
        <w:t>Das Verkehrsamt des Kantons Schwyz entzog A.________ mit Verfügung vom 21. Juni 2021 den Führerausweis für 15 Monate. A.________ wurde angewiesen, den Führerausweis spätestens 30 Tage nach Erhalt der Verfügung abzugeben. Nachdem A.________ seinen Führerausweis nicht deponierte, erliess das Verkehrsamt am 6. Februar 2022 eine Vollstreckungsverfügung und untersagte A.________ das Führen von Motorfahrzeugen aller Kategorien und Unterkategorien sowie der Spezialkategorie F für die Entzugsdauer von 15 Monaten ab dem Erhalt der Verfügung. Dagegen erhob A.________ am 28. Februar 2022 Beschwerde, welche das Verwaltungsgericht des Kanton Schwyz mit Entscheid vom 28. April 2022 im Sinne der Erwägungen abwies, soweit es darauf eintrat. Das Verwaltungsgericht führte zur Begründung zusammenfassend aus, die Verfügung des Verkehrsamts Schwyz, mit welcher A.________ der Führerausweis für 15 Monate entzogen worden war, sei unangefochten in Rechtskraft erwachsen. Es treffe nicht zu, dass diese Entzugsverfügung mangels Zuständigkeit des Kantons Schwyz als nichtig zu qualifizieren sei. Art. 22 SVG regle die Zuständigkeit für den Ausweisentzug. Vorliegend falle massgeblich ins Gewicht, dass A.________ am 11. Dezember 2019 ausgesagt habe, er wohne seit dem Wegzug von Losone in Brunnen, arbeite in Gersau und fahre lediglich einmal in der Woche ins Tessin. Damit würden gewichtige Anknüpfungspunkte dafür sprechen, dass das Verkehrsamt des Kantons Schwyz zuständig war bzw. sei, zumal nach Art. 22 Abs. 3 in fine SVG im Zweifel derjenige Kanton zuständig sei, welcher das Verfahren zuerst eingeleitet habe und dies sei unbestrittenermassen der Kanton Schwyz.</w:t>
      </w:r>
    </w:p>
    <w:p>
      <w:r>
        <w:rPr>
          <w:b/>
        </w:rPr>
        <w:t>E. 2</w:t>
      </w:r>
    </w:p>
    <w:p>
      <w:r>
        <w:t>A.________ führt mit Eingabe vom 15. Juni 2022 Beschwerde in öffentlich-rechtlichen Angelegenheiten gegen den Entscheid des Verwaltungsgerichts des Kantons Schwyz vom 28. April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ausführlich dar, weshalb in Anwendung von Art. 22 SVG die Zuständigkeit des Verkehrsamts des Kantons Schwyz gegeben sei und somit die Entzugsverfügung vom 21. Juni 2021 nicht mangels Zuständigkeit als nichtig zu qualifizieren sei. Damit setzt sich der Beschwerdeführer nicht rechtsgenüglich auseinander. Aus seinen Ausführungen ergibt sich nicht, dass das Verwaltungsgericht in rechts- bzw. verfassungswidriger Weise die Nichtigkeit der Entzugsverfügung verneint hätte. Er vermag somit nicht aufzuzeigen, inwiefern der Entscheid des Verwaltungsgerichts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