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357/2010 vom 28. September 2010</w:t>
      </w:r>
    </w:p>
    <w:p>
      <w:r>
        <w:t>Bundesgericht, 2010-09-28, DE</w:t>
      </w:r>
    </w:p>
    <w:p>
      <w:r>
        <w:rPr>
          <w:b/>
        </w:rPr>
        <w:t xml:space="preserve">Quelle: </w:t>
      </w:r>
      <w:r>
        <w:t>https://mcp.opencaselaw.ch/entscheid/bger_1C_357_2010</w:t>
      </w:r>
    </w:p>
    <w:p>
      <w:r>
        <w:t>FR: TF 1C 357/2010 du 28 septembre 2010</w:t>
      </w:r>
    </w:p>
    <w:p>
      <w:r>
        <w:t>IT: TF 1C 357/2010 del 28 settembre 2010</w:t>
      </w:r>
    </w:p>
    <w:p>
      <w:pPr>
        <w:pStyle w:val="Heading2"/>
      </w:pPr>
      <w:r>
        <w:t>Regeste</w:t>
      </w:r>
    </w:p>
    <w:p>
      <w:r>
        <w:t>internationale Rechtshilfe in Strafsachen an Russland; Herausgabe von Beweismitten - B 114'629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134 IV 156 E. 1.3.1 S. 160 mit Hinweisen).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Entgegen der Auffassung der Beschwerdeführer handelt es sich jedoch um keinen besonders bedeutenden Fall. Sie machen geltend, das gegen die Beschuldigten in Russland geführte Strafverfahren sei eingestellt bzw. beendet worden. Dazu legen sie verschiedene russische Entscheide vor (Beschwerdebeilage 6). Dass damit das russische Strafverfahren endgültig beendet sei, lässt sich diesen Entscheiden jedoch nicht schlüssig entnehmen. Um zu ermitteln, wie es sich damit im Einzelnen verhält, müsste das russische Recht näher geprüft werden. Dazu sind die schweizerischen Rechtshilfebehörden nicht gehalten. Nach der Rechtsprechung ist es nicht deren Aufgabe, im ersuchenden Staat ergangene Entscheide wie hier zu interpretieren. Solange das Rechtshilfeersuchen nicht zurückgezogen worden ist, ist es zu vollziehen (Urteil 1C_559/2009 vom 11. Februar 2010 E. 1 mit Hinweis). Die Vorinstanz legt das (angefochtener Entscheid S. 17 E. 6.2) zutreffend dar. Die Beschwerdeführer hätten im Übrigen genügend Zeit gehabt, die russischen Behörden unter Hinweis auf die von ihnen ins Recht gelegten Entscheide zum Rückzug des Rechtshilfeersuchens zu veranlassen. Einen solchen Rückzug haben die russischen Behörden jedoch nicht erklärt. Nach der Rechtsprechung ist das Rechtshilfeersuchen daher zu vollziehen. Auf das Vorbringen der Beschwerdeführer, das russische Verfahren leide an schweren Mängeln, ist die Vorinstanz (angefochtener Entscheid S. 13 ff. E. 5) mangels Beschwerdelegitimation nicht eingetreten. Ihre Ausführungen auch dazu sind nicht zu beanstanden. Die Vorinstanz hat zu sämtlichen wesentlichen Einwänden der Beschwerdeführer Stellung genommen. Ihre Erwägungen, auf welche verwiesen werden kann, lassen keine Bundesrechtsverletzung erkennen. Für das Bundesgericht besteht deshalb kein Anlass, die Sache an die Hand zu nehmen. Die Beschwerde ist danach unzulässig.</w:t>
      </w:r>
    </w:p>
    <w:p>
      <w:r>
        <w:rPr>
          <w:b/>
        </w:rPr>
        <w:t>E. 2</w:t>
      </w:r>
    </w:p>
    <w:p>
      <w:r>
        <w:t>Die Einräumung einer Nachfrist zur Ergänzung der Beschwerdebegründung gemäss Art. 43 BGG fällt damit ausser Betracht (lit. a). Die Beschwerde hatte von Gesetzes wegen aufschiebende Wirkung ( Art. 103 Abs. 2 lit. c BGG ). Über den entsprechenden Antrag musste daher nicht befunden werden.</w:t>
      </w:r>
    </w:p>
    <w:p>
      <w:r>
        <w:rPr>
          <w:b/>
        </w:rPr>
        <w:t>E. 3</w:t>
      </w:r>
    </w:p>
    <w:p>
      <w:r>
        <w:t>Da die Beschwerdeführer unterliegen, tragen sie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