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356/2017 vom 8. November 2017</w:t>
      </w:r>
    </w:p>
    <w:p>
      <w:r>
        <w:t>Bundesgericht, 2017-11-08, DE</w:t>
      </w:r>
    </w:p>
    <w:p>
      <w:r>
        <w:rPr>
          <w:b/>
        </w:rPr>
        <w:t xml:space="preserve">Quelle: </w:t>
      </w:r>
      <w:r>
        <w:t>https://mcp.opencaselaw.ch/entscheid/bger_1C_356_2017</w:t>
      </w:r>
    </w:p>
    <w:p>
      <w:r>
        <w:t>FR: TF 1C 356/2017 du 8 novembre 2017</w:t>
      </w:r>
    </w:p>
    <w:p>
      <w:r>
        <w:t>IT: TF 1C 356/2017 del 8 novembre 2017</w:t>
      </w:r>
    </w:p>
    <w:p>
      <w:pPr>
        <w:pStyle w:val="Heading2"/>
      </w:pPr>
      <w:r>
        <w:t>Regeste</w:t>
      </w:r>
    </w:p>
    <w:p>
      <w:r>
        <w:t>Ermächtigungsverfahren | Strafprozess</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w:t>
      </w:r>
    </w:p>
    <w:p>
      <w:r>
        <w:rPr>
          <w:b/>
        </w:rPr>
        <w:t>E. 1.2.1</w:t>
      </w:r>
    </w:p>
    <w:p>
      <w:r>
        <w:t>Der Beschwerdeführer macht dazu geltend, er habe am vorinstanzlichen Verfahren teilgenommen und sei mit seiner Strafanzeige nicht durchgedrungen. Er sei daher direkt betroffen und habe ein rechtlich geschütztes Interesse an der Beschwerdeführung.</w:t>
      </w:r>
    </w:p>
    <w:p>
      <w:r>
        <w:rPr>
          <w:b/>
        </w:rPr>
        <w:t>E. 1.2.2</w:t>
      </w:r>
    </w:p>
    <w:p>
      <w:r>
        <w:t>Der Beschwerdeführer ist als Stiftungsrat ausgeschieden und legt nicht dar, dass er mit der C.________ Vorsorgestiftung in Liquidation noch in irgendeiner Weise rechtlich verbunden wäre. Die von ihm angezeigten Straftaten richten sich gegen öffentliche Interessen und gegen das Privatinteresse der angeblich zu Schaden gekommenen C.________ Vorsorgestiftung in Liquidation, allenfalls indirekt auch noch gegen deren "Kunden". Es ist damit nicht ersichtlich, dass er als Aussenstehender von der Weigerung der Anklagekammer, die Ermächtigung zur Durchführung des Strafverfahrens zu erteilen, in irgendeiner Weise stärker betroffen wäre als jeder andere Dritte. In seiner Stellungnahme vom 31. Oktober 2017 begründet der Beschwerdeführer seine Legitimation zusätzlich damit, dass ihm B.________ "in Bezug auf die Liquidation der C.________ Vorsorgestiftung und der Verantwortlichkeit als Stiftungsrat" einen Zahlungsbefehl über 5 Mio Franken und der Kanton Tessin einen solchen über 15 Mio Franken zugestellt hätten. Diese Ausführungen gingen indessen nach Ablauf der Beschwerdeschrift ein und sind damit nicht geeignet, die Legitimation des Beschwerdeführers zu begründen. Es wäre im Übrigen auch nicht ersichtlich, inwiefern sich aus dem Umstand, dass gegen den Beschwerdeführer wegen seiner früheren Tätigkeit als Stiftungsrat Forderungen gestellt werden, ein schützenswertes Interesse an der Verfolgung der von ihm angezeigten Straftaten ableiten liesse. Auch wenn Art. 89 Abs. 1 BGG kein rechtlich geschütztes Interesse voraussetzt, so muss doch eine gewisse Beziehungsnähe des Beschwerdeführers zu den angeblichen Straftaten bestehen; die Bestimmung ermöglicht keine Popularbeschwerde.</w:t>
      </w:r>
    </w:p>
    <w:p>
      <w:r>
        <w:rPr>
          <w:b/>
        </w:rPr>
        <w:t>E. 1.3</w:t>
      </w:r>
    </w:p>
    <w:p>
      <w:r>
        <w:t>Auf die Beschwerde ist damit im vereinfachten Verfahren nicht einzutreten, weil der Beschwerdeführer unter Verletzung seiner gesetzlichen Begründungspflicht nicht darlegt, inwiefern er zu Beschwerde befugt sein soll und das auch nicht offensichtlich der Fall ist.</w:t>
      </w:r>
    </w:p>
    <w:p>
      <w:r>
        <w:rPr>
          <w:b/>
        </w:rPr>
        <w:t>E. 2</w:t>
      </w:r>
    </w:p>
    <w:p>
      <w:r>
        <w:t>Bei diesem Ausgang des Verfahrens wird der Beschwerdeführer kostenpflichtig ( Art. 66 Abs. 1 BGG ). Er hat zwar ein Gesuch um unentgeltliche Rechtspflege gestellt, welches indessen abzuweisen ist, da die Beschwerde aussichtslos war ( Art. 64 Abs. 1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