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356/2007 vom 26. November 2007</w:t>
      </w:r>
    </w:p>
    <w:p>
      <w:r>
        <w:t>Bundesgericht, 2007-11-26, DE</w:t>
      </w:r>
    </w:p>
    <w:p>
      <w:r>
        <w:rPr>
          <w:b/>
        </w:rPr>
        <w:t xml:space="preserve">Quelle: </w:t>
      </w:r>
      <w:r>
        <w:t>https://mcp.opencaselaw.ch/entscheid/bger_1C_356_2007</w:t>
      </w:r>
    </w:p>
    <w:p>
      <w:r>
        <w:t>FR: TF 1C 356/2007 du 26 novembre 2007</w:t>
      </w:r>
    </w:p>
    <w:p>
      <w:r>
        <w:t>IT: TF 1C 356/2007 del 26 novembre 2007</w:t>
      </w:r>
    </w:p>
    <w:p>
      <w:pPr>
        <w:pStyle w:val="Heading2"/>
      </w:pPr>
      <w:r>
        <w:t>Regeste</w:t>
      </w:r>
    </w:p>
    <w:p>
      <w:r>
        <w:t>Auslieferung an Kroatien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starke Begrenzung des Zugangs zum Bundesgericht im Bereich der internationalen Rechtshilfe in Strafsachen ( BGE 133 IV 131 E. 3 S. 132; 133 IV 132 E. 1.3 S. 134). Bei der Beantwortung der Frage, ob ein besonders bedeutender Fall gegeben ist, steht dem Bundesgericht ein weiter Ermessensspielraum zu (Urteil 1C_138/2007 vom 17. Juli 2007 E. 2.1,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2.1</w:t>
      </w:r>
    </w:p>
    <w:p>
      <w:r>
        <w:t>Im vorliegenden Fall geht es um eine Auslieferung und damit um ein Sachgebiet, bei dem gemäss Art. 84 Abs. 1 BGG die Beschwerde in öffentlich-rechtlichen Angelegenheiten möglich ist. Es stellt sich die Frage, ob ein besonders bedeutender Fall gegeben sei.</w:t>
      </w:r>
    </w:p>
    <w:p>
      <w:r>
        <w:rPr>
          <w:b/>
        </w:rPr>
        <w:t>E. 2.2</w:t>
      </w:r>
    </w:p>
    <w:p>
      <w:r>
        <w:t>Der Beschwerdeführer macht geltend, im kroatischen Strafverfahren seien elementare Verfahrensgrundsätze verletzt worden. Die Verurteilung wegen mehrfachen Diebstahls sei lediglich vorgeschoben. In Wahrheit sei er aus politischen Gründen verurteilt worden. Das Gemeindegericht Sisak hat den Beschwerdeführer im Abwesenheitsverfahren verurteilt. Die Vorinstanz hat die Auslieferung in Anwendung von Art. 3 Ziff. 1 des zweiten Zusatzprotokolls zum Europäischen Auslieferungsübereinkommen (SR 0.353.12) von der förmlichen Zusicherung des kroatischen Justizministeriums abhängig gemacht, dass der Beschwerdeführer das Recht haben wird, frühestens ab dem Zeitpunkt seiner Auslieferung innert der Frist eines Jahres ein neues Gerichtsverfahren zu verlangen, worin die durch die EMRK und den UNO-Pakt II garantierten Rechte gewährleistet werden. Am 25. Oktober 2007 hat das kroatische Justizministerium diese Zusicherung abgegeben (act. 91). Aufgrund des völkerrechtlichen Vertrauensprinzips darf erwartet werden, dass sich die kroatischen Behörden an diese Zusicherung halten werden. Inwiefern bei dieser Sachlage das Verfahren in Kroatien schwere Mängel aufweisen soll, ist nicht ersichtlich. Die Vorinstanz hat sich (E. 4) eingehend mit der Frage der politischen Verfolgung auseinandergesetzt. Sie ist zum Schluss gekommen, der Beschwerdeführer habe eine derzeitige Verfolgung aus rassischen, nationalen oder politischen Gründen nicht konkret und glaubhaft aufgezeigt. Was die Vorinstanz dazu ausführt, stützt sich auf die bundesgerichtliche Rechtsprechung, auf die zurückzukommen kein Anlass besteht. Der Beschwerdeführer verweist auf das Asylverfahren. Das Bundesamt für Migration trat mit Verfügung vom 12. Juli 2007 auf das Asylgesuch des Beschwerdeführers in Anwendung von Art. 33 Abs. 1 des Asylgesetzes vom 26. Juni 1998 (SR 142.31) nicht ein. Die dagegen erhobene Beschwerde hiess das Bundesverwaltungsgericht am 20. September 2007 gut; es hob die Verfügung des Bundesamtes für Migration auf und wies die Sache zum neuen Entscheid im Sinne der Erwägungen an dieses zurück. Das Bundesverwaltungsgericht befand, die Hinweise des Beschwerdeführers auf eine Verfolgung erwiesen sich nicht auf den ersten Blick ("prima facie") als haltlos, weshalb auf sein Asylgesuch einzutreten sei. Die Frage der Flüchtlingseigenschaft und der Asylgewährung hatte das Bundesverwaltungsgericht nicht zu prüfen. Das Bundesamt für Migration wird sich nun also materiell mit der Sache zu befassen haben. Sollte es die politische Verfolgung des Beschwerdeführers - gegebenenfalls gestützt auf weitere Beweismittel - abweichend von der Vorinstanz bejahen und dem Beschwerdeführer Asyl gewähren, würde er nicht ausgeliefert; denn die Bewilligung der Auslieferung steht nach dem insoweit von der Vorinstanz bestätigten Auslieferungsentscheid des Bundesamtes für Justiz unter dem ausdrücklichen Vorbehalt, dass das Asylgesuch rechtskräftig abgewiesen wird. Das Rechtsschutzbedürfnis des Beschwerdeführers verlangt unter diesen Umständen nicht, dass das Bundesgericht die vorliegende Beschwerde an die Hand nimmt. Die besondere Bedeutung des Falles ist zu verneinen.</w:t>
      </w:r>
    </w:p>
    <w:p>
      <w:r>
        <w:rPr>
          <w:b/>
        </w:rPr>
        <w:t>E. 3</w:t>
      </w:r>
    </w:p>
    <w:p>
      <w:r>
        <w:t>Der Beschwerdeführer beantragt die Entlassung aus der Auslieferungshaft. Die Vorinstanz hat die Haftentlassung abgelehnt. Der Beschwerdeführer kann den angefochtenen Entscheid auch insoweit nicht voraussetzungslos ans Bundesgericht weiterziehen. Über die Auslieferungshaft entscheidet die Vorinstanz ebenfalls grundsätzlich abschliessend. Die Beschwerde an das Bundesgericht ist auch insoweit nur zulässig, wenn es um einen besonders bedeutenden Fall nach Art. 84 BGG geht, was der Beschwerdeführer gemäss Art. 42 Abs. 2 BGG darzutun hat (Urteil 1C_313/2007 vom 4. Oktober 2007 E. 1; vgl. auch BGE 133 IV 215 E. 1.2 S. 217). Der Beschwerdeführer legt mit keinem Wort dar und es ist auch nicht ohne weiteres ersichtlich, inwiefern in Bezug auf die Auslieferungshaft ein besonders bedeutender Fall gegeben sein soll. Deshalb kann auch im vorliegenden Punkt auf die Beschwerde nicht eingetreten werden. Gemäss Art. 50 Abs. 3 Satz 2 IRSG kann der Verfolgte jederzeit ein Haftentlassungsgesuch einreichen. Dem Beschwerdeführer steht es somit frei, beim Bundesamt für Justiz um seine Haftentlassung zu ersuchen (vgl. Robert Zimmermann, La coopération judiciaire internationale en matière pénale, 2. Aufl., Bern 2004, S. 210 N. 197).</w:t>
      </w:r>
    </w:p>
    <w:p>
      <w:r>
        <w:rPr>
          <w:b/>
        </w:rPr>
        <w:t>E. 4</w:t>
      </w:r>
    </w:p>
    <w:p>
      <w:r>
        <w:t>Auf die Beschwerde kann danach nicht eingetreten werden. Das Gesuch um Einräumung einer Frist zur Ergänzung der Beschwerdebegründung nach Art. 43 BGG ist damit hinfällig. Mit dem vorliegenden Entscheid braucht auch über das Gesuch um aufschiebende Wirkung nicht mehr befunden zu werden. Die Beschwerde hatte im Übrigen ohnehin von Gesetzes wegen aufschiebende Wirkung ( Art. 21 Abs. 4 lit. a IRSG ). Da die Beschwerde aussichtslos war, kann das Gesuch um unentgeltliche Rechtspflege und Verbeiständung nach Art. 64 BGG nicht bewilligt werden. Von der Mittellosigkeit des Beschwerdeführers ist allerdings auszugehen. Auf die Erhebung von Kosten wird daher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