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1C_355/2008 vom 28. Januar 2009</w:t>
      </w:r>
    </w:p>
    <w:p>
      <w:r>
        <w:t>Bundesgericht, 2009-01-28, DE</w:t>
      </w:r>
    </w:p>
    <w:p>
      <w:r>
        <w:rPr>
          <w:b/>
        </w:rPr>
        <w:t xml:space="preserve">Quelle: </w:t>
      </w:r>
      <w:r>
        <w:t>https://mcp.opencaselaw.ch/entscheid/bger_1C_355_2008</w:t>
      </w:r>
    </w:p>
    <w:p>
      <w:r>
        <w:t>FR: TF 1C_355/2008 du 28 janvier 2009</w:t>
      </w:r>
    </w:p>
    <w:p>
      <w:r>
        <w:t>IT: TF 1C_355/2008 del 28 gennaio 2009</w:t>
      </w:r>
    </w:p>
    <w:p>
      <w:pPr>
        <w:pStyle w:val="Heading2"/>
      </w:pPr>
      <w:r>
        <w:t>Erwägungen</w:t>
      </w:r>
    </w:p>
    <w:p>
      <w:r>
        <w:rPr>
          <w:b/>
        </w:rPr>
        <w:t>E. 1.1</w:t>
      </w:r>
    </w:p>
    <w:p>
      <w:r>
        <w:t>Dem angefochtenen Urteil des Verwaltungsgerichts liegt ein Beschwerdeverfahren über eine baurechtliche Bewilligung zu Grunde. Nach Art. 34 Abs. 1 RPG (SR 700) in der Fassung gemäss Ziff. 64 des Anhangs zum Bundesgesetz vom 17. Juni 2005 über das Bundesverwaltungsgericht (VGG; SR 173.32) gelten für die Rechtsmittel an die Bundesbehörden die allgemeinen Bestimmungen über die Bundesrechtspflege ( BGE 133 II 400 E. 2.1 S. 404 mit Hinweis). Die Beschwerde in öffentlich-rechtlichen Angelegenheiten nach Art. 82 lit. a BGG steht auf dem Gebiet des Raumplanungs- und Baurechts zur Verfügung. Das Bundesgerichtsgesetz enthält dazu keinen Ausschlussgrund. Angefochten ist ein Entscheid einer letzten kantonalen Instanz ( Art. 86 Abs. 1 lit. d BGG ).</w:t>
      </w:r>
    </w:p>
    <w:p>
      <w:r>
        <w:rPr>
          <w:b/>
        </w:rPr>
        <w:t>E. 1.2</w:t>
      </w:r>
    </w:p>
    <w:p>
      <w:r>
        <w:t>Das Verwaltungsgericht trat auf die Begehren des Beschwerdeführers insoweit nicht ein, als die Erteilung einer Baubewilligung für die Stützmauer und die Aufschüttung beantragt wurde. Gemäss dem Entscheid der BVE stehe noch nicht fest, ob diese beiden Teile des Baugesuchs überhaupt baubewilligungspflichtig seien. In Bezug auf die Einrichtung von Parkplätzen hingegen wies das Verwaltungsgericht die Beschwerde ab und ordnete die Wiederherstellung des rechtmässigen Zustands an. Durch diesen Entscheid wurde der Sachbereich "Einrichten von Parkplätzen" endgültig vom übrigen Prozessstoff abgespalten. Diesbezüglich liegt ein Teilentscheid im Sinne von Art. 91 lit. a BGG vor, welcher unabhängig von den beiden anderen Teilen des Baugesuchs beurteilt werden kann. Prozessual wird der Teilentscheid vom Bundesgerichtsgesetz gleich behandelt wie ein Endentscheid. Das hat zur Folge, dass er innert der in Art. 100 BGG vorgeschriebenen Beschwerdefrist angefochten werden muss und die spätere Anfechtungsmöglichkeit nach Art. 93 Abs. 3 BGG entfällt. Auf die rechtzeitig eingereichte Beschwerde ist vorbehältlich genügend begründeter Rügen ( Art. 42 Abs. 2 und Art. 106 Abs. 2 BV ) einzutreten (vgl. Urteil des Bundesgerichts 1C_82/2007 vom 19. November 2007 E. 1.2 mit Hinweisen).</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und 2.2 S. 245 f. mit Hinweisen).</w:t>
      </w:r>
    </w:p>
    <w:p>
      <w:r>
        <w:rPr>
          <w:b/>
        </w:rPr>
        <w:t>E. 1.3.2</w:t>
      </w:r>
    </w:p>
    <w:p>
      <w:r>
        <w:t>Die Erteilung einer Baubewilligung setzt voraus, dass das Land erschlossen ist ( Art. 22 Abs. 2 lit. b RPG ). Nach Art. 19 Abs. 1 RPG ist Land erschlossen, wenn unter anderem die für die betreffende Nutzung hinreichende Zufahrt besteht. Da das Bundesrecht jedoch an die jeweilige Nutzung der konkreten Bauzone anknüpft und von den dafür nötigen Erschliessungsanlagen spricht, sind die Anforderungen je nach Nutzungszone unterschiedlich. Dementsprechend enthält das Bundesrecht nur allgemeine Grundsätze, während sich die Anforderungen an die Erschliessung im Einzelnen erst aus dem kantonalen Recht ergeben ( BGE 117 Ib 308 E. 4a S. 314; 123 II 337 E. 5b S. 350; je mit Hinweis). Den kantonalen und kommunalen Behörden steht in diesem Zusammenhang ein erhebliches Ermessen zu ( BGE 121 I 65 E. 3a S. 68).</w:t>
      </w:r>
    </w:p>
    <w:p>
      <w:r>
        <w:rPr>
          <w:b/>
        </w:rPr>
        <w:t>E. 1.3.3</w:t>
      </w:r>
    </w:p>
    <w:p>
      <w:r>
        <w:t>Zur Frage der hinreichenden Erschliessung legt das Verwaltungsgericht dar, Bauvorhaben würden nach Art. 7 Abs. 1 des Baugesetzes des Kantons Bern vom 9. Juni 1985 (BauG; BSG 721.0) nur bewilligt, wenn sichergestellt sei, dass das Baugrundstück auf den Zeitpunkt der Fertigstellung des Bauvorhabens, wenn nötig bereits bei Baubeginn, genügend erschlossen sein werde. Art. 3 Abs. 1 der Bauverordnung des Kantons Bern vom 6. März 1985 (BauV; BSG 721.1) verlange, dass die Erschliessungsanlagen auch rechtlich sichergestellt seien. Als sichergestellt gelte eine Erschliessung gemäss Art. 4 Bst. c BauV, wenn bei Anlagen auf fremdem Grund entweder ein für die Grundeigentümer verbindlicher Plan (Überbauungsplan, Strassenplan) bestehe oder das Recht zu ihrer Erstellung und Erhaltung vor dem Bauentscheid vereinbart sei. Die benötigten Rechte müssten bei Baubeginn erworben sein.</w:t>
      </w:r>
    </w:p>
    <w:p>
      <w:r>
        <w:rPr>
          <w:b/>
        </w:rPr>
        <w:t>E. 1.3.4</w:t>
      </w:r>
    </w:p>
    <w:p>
      <w:r>
        <w:t>Der Beschwerdeführer setzt sich eingehend mit der Tragweite des Wegrechts zugunsten der Parzelle Nr. 1887 und zulasten der Parzelle 1886 sowie mit der Bedeutung der Ausgestaltung der Parzelle Nr. 2778 als Anmerkungsparzelle zu Parzelle Nr. 1887 auseinander. Zur Hauptfrage der Erschliessung erhebt er indessen keine genügend substanziierte Rüge (vgl. Art. 42 Abs. 2 und Art. 106 Abs. 2 BGG ). Der Umfang des Wegrechts ist lediglich eine zivilrechtliche Vorfrage. Einzig zu rügen, die Vorinstanz habe den Umfang des Wegrechts falsch bestimmt, ohne aufzuzeigen, dass deswegen in der Hauptfrage Recht verletzt wurde, ist nicht hinreichend. Der Beschwerdeführer zeigt nicht auf, inwiefern die Vorinstanz bundesrechtliche Normen betreffend die Erschliessung verletzte. Auf die Rüge des Beschwerdeführers, die Vorinstanz habe die Erschliessung zu Unrecht verneint, ist deshalb nicht einzutreten.</w:t>
      </w:r>
    </w:p>
    <w:p>
      <w:r>
        <w:rPr>
          <w:b/>
        </w:rPr>
        <w:t>E. 2.1</w:t>
      </w:r>
    </w:p>
    <w:p>
      <w:r>
        <w:t>Der Beschwerdeführer beanstandet, dass er den rechtmässigen Zustand wiederherstellen muss und beruft sich dabei auf die Grundsätze des öffentlichen Interesses und der Verhältnismässigkeit ( Art. 5 Abs. 2 BV ).</w:t>
      </w:r>
    </w:p>
    <w:p>
      <w:r>
        <w:t>Für die Nutzung der Parzelle Nr. 2778 als Autoabstellplatz besteht keine rechtskräftige Bewilligung. Das hat jedoch noch nicht zur Folge, dass diese Nutzung aufgegeben und der rechtmässige Zustand wiederhergestellt werden muss. Vielmehr sind die in diesem Zusammenhang massgebenden allgemeinen verfassungs- und verwaltungsrechtlichen Prinzipien zu berücksichtigen. Zu ihnen gehören namentlich das öffentliche Interesse und die Verhältnismässigkeit. Vor dem Grundsatz der Verhältnismässigkeit hält eine Massnahme stand, wenn sie zur Erreichung des angestrebten Ziels geeignet und erforderlich ist und das verfolgte Ziel in einem vernünftigen Verhältnis zu den eingesetzten Mitteln steht ( BGE 132 II 21 E. 6 S. 35; 119 Ia 348 E. 2a S. 353; je mit Hinweisen).</w:t>
      </w:r>
    </w:p>
    <w:p>
      <w:r>
        <w:rPr>
          <w:b/>
        </w:rPr>
        <w:t>E. 2.2</w:t>
      </w:r>
    </w:p>
    <w:p>
      <w:r>
        <w:t>Zu seiner Rüge der Verletzung des Verhältnismässigkeitsprinzips führt der Beschwerdeführer aus, die verfügten Wiederherstellungsmassnahmen seien einerseits nicht geeignet, die Nutzung als Parkplatz zu verhindern und anderseits würden zulässige Nutzungen erschwert oder verunmöglicht. Es könne zudem jederzeit und ohne Aufwand festgestellt werden, ob die fragliche Fläche als Parkplatz genutzt werde. Auch auf ein Benutzungsverbot könne deshalb verzichtet werden.</w:t>
      </w:r>
    </w:p>
    <w:p>
      <w:r>
        <w:t>Die Anordnung, Betonelemente oder grosse Steine von mindestens 100 kg in einem Abstand von 1.80 m auf der Grenze zwischen den Parzellen Nr. 1887 und 2778 aufzustellen, ist geeignet, die Nutzung der Fläche als Parkplatz zu verhindern. Es ist nicht ersichtlich und wird vom Beschwerdeführer nicht substanziiert geltend gemacht, weshalb dies nicht so sein sollte. Die Massnahme ist auch erforderlich, um die Nutzung als Parkplatz zu verhindern. Die mildere Massnahme eines blossen Benutzungsverbotes ist nicht gleich geeignet, denn der damit verbundene Kontrollaufwand wäre zu gross (vgl. Urteil des Bundesgerichts 1P.354/1992 vom 14. September 1992 E. 3b). Umso weniger kommt der gänzliche Verzicht auf Wiederherstellungsmassnahmen in Betracht, wie dies der Beschwerdeführer verlangt. Schliesslich wiegt das öffentliche Interesse an einer konsequenten Durchsetzung der raumplanerischen und baupolizeilichen Vorschriften schwerer als die relativ geringen Kosten der Wiederherstellungsmassnahme und die leichte Einschränkung, welche der Beschwerdeführer in der Nutzung der Parzelle Nr. 2778 erfährt.</w:t>
      </w:r>
    </w:p>
    <w:p>
      <w:r>
        <w:t>Zusammenfassend ergibt sich, dass der angefochtene Entscheid die Grundsätze des öffentlichen Interesses und der Verhältnismässigkeit nicht verletzt. Die diesbezügliche Rüge des Beschwerdeführers ist abzuweisen.</w:t>
      </w:r>
    </w:p>
    <w:p>
      <w:r>
        <w:rPr>
          <w:b/>
        </w:rPr>
        <w:t>E. 3</w:t>
      </w:r>
    </w:p>
    <w:p>
      <w:r>
        <w:t>Insgesamt ist die Beschwerde daher abzuweisen, soweit darauf einzutreten ist. Diesem Ausgang des Verfahrens entsprechend sind die Gerichtskosten dem unterliegenden Beschwerdeführer aufzuerlegen ( Art. 66 Abs. 1 BGG ). Die nicht anwaltlich vertretenen privaten Beschwerdegegner haben keinen Anspruch auf eine Parteientschädigung ( Art. 68 Abs. 1 und 2 BGG ; BGE 133 III 439 E. 4 S. 446 mit Hinweis). Der Einwohnergemeinde Roggwil, die in ihrem amtlichen Wirkungskreis obsiegt hat, ist ebenfalls keine Parteientschädigung zuzusprechen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