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1C_354/2010 vom 22. September 2010</w:t>
      </w:r>
    </w:p>
    <w:p>
      <w:r>
        <w:t>Bundesgericht, 2010-09-22, DE</w:t>
      </w:r>
    </w:p>
    <w:p>
      <w:r>
        <w:rPr>
          <w:b/>
        </w:rPr>
        <w:t xml:space="preserve">Quelle: </w:t>
      </w:r>
      <w:r>
        <w:t>https://mcp.opencaselaw.ch/entscheid/bger_1C_354_2010</w:t>
      </w:r>
    </w:p>
    <w:p>
      <w:r>
        <w:t>FR: TF 1C_354/2010 du 22 septembre 2010</w:t>
      </w:r>
    </w:p>
    <w:p>
      <w:r>
        <w:t>IT: TF 1C_354/2010 del 22 settembre 2010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insoweit nach Art. 84 Abs. 1 BGG möglich ist. Entgegen der Auffassung des Beschwerdeführers handelt es sich jedoch um keinen besonders bedeutenden Fall. Die Vorinstanz hat zu sämtlichen wesentlichen Einwänden des Beschwerdeführers Stellung genommen. Ihre Erwägungen, auf die verwiesen werden kann, stützen sich auf die bundesgerichtliche Rechtsprechung und überzeugen. Für das Bundesgericht be-steht deshalb kein Anlass, die Sache an die Hand zu nehmen.</w:t>
      </w:r>
    </w:p>
    <w:p>
      <w:r>
        <w:t>Die Beschwerde ist danach unzulässig.</w:t>
      </w:r>
    </w:p>
    <w:p>
      <w:r>
        <w:rPr>
          <w:b/>
        </w:rPr>
        <w:t>E. 1.3.1</w:t>
      </w:r>
    </w:p>
    <w:p>
      <w:r>
        <w:t>Die Ansetzung einer Nachfrist zur Ergänzung der Beschwerdebegründung gemäss Art. 43 BGG fällt damit ausser Betracht (lit. a).</w:t>
      </w:r>
    </w:p>
    <w:p>
      <w:r>
        <w:rPr>
          <w:b/>
        </w:rPr>
        <w:t>E. 1.3.2</w:t>
      </w:r>
    </w:p>
    <w:p>
      <w:r>
        <w:t>Der Beschwerdeführer bringt vor, sein Anwalt sei am 29. Juli 2010, als der angefochtene Entscheid zugestellt worden sei, in den Ferien gewesen. Der Anwalt habe deshalb den besonders bedeutenden Fall nur summarisch begründen können. Für den Fall, dass keine Nachfrist zur Beschwerdeergänzung nach Art. 43 BGG gewährt werden könne, ersucht der Beschwerdeführer daher (Beschwerde S. 5 oben Ziff. 5) um "Wiedereinsetzung in den vorigen Stand" nach Art. 50 BGG .</w:t>
      </w:r>
    </w:p>
    <w:p>
      <w:r>
        <w:t>Dem kann schon deshalb nicht stattgegeben werden, weil die geltend gemachte Ferienabwesenheit des Anwalts kein unverschuldetes Hindernis im Sinne dieser Bestimmung darstellt. Dem Anwalt musste bekannt sein, dass der Fristenstillstand auf dem Gebiet der internationalen Rechtshilfe nicht gilt ( Art. 46 Abs. 2 BGG ). Es oblag ihm deshalb, für die Zeit seiner Ferienabwesenheit die nötigen organisatorischen Vorkehren zu treffen ( BGE 99 II 349 E. 4 S. 352 mit Hinweisen).</w:t>
      </w:r>
    </w:p>
    <w:p>
      <w:r>
        <w:rPr>
          <w:b/>
        </w:rPr>
        <w:t>E. 2</w:t>
      </w:r>
    </w:p>
    <w:p>
      <w:r>
        <w:t>Nach dem Gesagten wird auf die Beschwerde nicht eingetreten.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