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1C_353/2010 vom 12. Januar 2011</w:t>
      </w:r>
    </w:p>
    <w:p>
      <w:r>
        <w:t>Bundesgericht, 2011-01-12, FR</w:t>
      </w:r>
    </w:p>
    <w:p>
      <w:r>
        <w:rPr>
          <w:b/>
        </w:rPr>
        <w:t xml:space="preserve">Quelle: </w:t>
      </w:r>
      <w:r>
        <w:t>https://mcp.opencaselaw.ch/entscheid/bger_1C_353_2010</w:t>
      </w:r>
    </w:p>
    <w:p>
      <w:r>
        <w:t>FR: TF 1C_353/2010 du 12 janvier 2011</w:t>
      </w:r>
    </w:p>
    <w:p>
      <w:r>
        <w:t>IT: TF 1C_353/2010 del 12 gennaio 2011</w:t>
      </w:r>
    </w:p>
    <w:p>
      <w:pPr>
        <w:pStyle w:val="Heading2"/>
      </w:pPr>
      <w:r>
        <w:t>Erwägungen</w:t>
      </w:r>
    </w:p>
    <w:p>
      <w:r>
        <w:rPr>
          <w:b/>
        </w:rPr>
        <w:t>E. 1</w:t>
      </w:r>
    </w:p>
    <w:p>
      <w:r>
        <w:t>Dirigé contre une décision prise en dernière instance cantonale ( art. 86 al. 1 let . d LTF) confirmant une mesure administrative en matière de permis de conduire ( art. 82 let. a LTF ), le recours est recevable comme recours en matière de droit public selon les art. 82 ss LTF , aucune des exceptions mentionnées à l' art. 83 LTF n'étant réalisée. Le recourant est particulièrement touché par la décision attaquée, qui confirme le retrait de son permis de conduire pour une durée de trois mois; il a donc un intérêt digne de protection à obtenir son annulation, si bien qu'il a la qualité pour recourir au sens de l' art. 89 al. 1 LTF . Les autres conditions de recevabilité sont réunies, de sorte qu'il convient d'entrer en matière.</w:t>
      </w:r>
    </w:p>
    <w:p>
      <w:r>
        <w:t>Le recours en matière de droit public permet d'invoquer la violation des droits constitutionnels, tel le droit d'être entendu. Le recours constitutionnel subsidiaire est dès lors irrecevable ( art. 113 al. 1 LTF ).</w:t>
      </w:r>
    </w:p>
    <w:p>
      <w:r>
        <w:rPr>
          <w:b/>
        </w:rPr>
        <w:t>E. 2</w:t>
      </w:r>
    </w:p>
    <w:p>
      <w:r>
        <w:t>Le recourant relève que le prononcé préfectoral retient une infraction simple à la LCR. Il n'aurait pas fait opposition car il pouvait s'attendre à une sanction administrative pour faute légère, voire moyenne. La CDAP ne pouvait s'écarter de la décision préfectorale sans procéder à une instruction complète, et notamment entendre les deux témoins proposés par le recourant. Invoquant son droit d'être entendu, le recourant estime que ces témoignages pouvaient contredire les affirmations de la cour cantonale selon laquelle l'excédent de poids du véhicule ne pouvait échapper au recourant. Ce dernier n'avait pas participé au chargement. La cour cantonale avait d'ailleurs retenu, de façon contradictoire, que les policiers qui ont intercepté le recourant et l'ont conduit à la Blécherette ignoraient l'importance de la surcharge.</w:t>
      </w:r>
    </w:p>
    <w:p>
      <w:r>
        <w:rPr>
          <w:b/>
        </w:rPr>
        <w:t>E. 2.1</w:t>
      </w:r>
    </w:p>
    <w:p>
      <w:r>
        <w:t>En principe, l'autorité administrative statuant sur un retrait du permis de conduire ne peut pas s'écarter des constatations de fait d'un prononcé pénal entré en force. La sécurité du droit commande en effet d'éviter que l'indépendance du juge pénal et du juge administratif ne conduise à des jugements opposés, rendus sur la base des mêmes faits ( ATF 109 Ib 203 consid. 1 p. 204; 96 I 766 consid. 4 p. 774). L'autorité administrative ne peut s'écarter du jugement pénal qu'à certaines conditions, notamment en présence de preuves ou de faits nouveaux ( ATF 129 II 312 consid. 2.4 p. 315; 123 II 97 consid. 3c/aa p. 104; 119 Ib 158 consid. 3c/aa p. 164; 105 Ib 18 consid. 1a p. 19; 101 Ib 270 consid. 1b p. 273 s.; 96 I 766 consid. 5 p. 774 s.). Si les faits retenus au pénal lient donc en principe l'autorité et le juge administratifs, il en va différemment des questions de droit, en particulier de l'appréciation de la faute et de la mise en danger (arrêts 1C_585/2008 du 14 mai 2009 consid. 3.1; 1C_222/2008 du 18 novembre 2008 consid. 2.4; 1C_71/ 2008 du 31 mars 2008 consid. 2.1; ATF 120 Ib 312 consid. 4b p. 315; 115 Ib 163 consid. 2a p. 164; 102 Ib 193 consid. 3c p. 196).</w:t>
      </w:r>
    </w:p>
    <w:p>
      <w:r>
        <w:rPr>
          <w:b/>
        </w:rPr>
        <w:t>E. 2.2</w:t>
      </w:r>
    </w:p>
    <w:p>
      <w:r>
        <w:t>La cour cantonale ne s'est en rien écartée des faits constatés au pénal. Elle a fondé son appréciation de la faute sur l'importance de la surcharge du véhicule, soit plus du double du poids maximum pour le véhicule et près de 3,5 fois la charge utile autorisée, ces faits n'étant pas contestés. L'arrêt attaqué ne met pas en doute le fait que le recourant n'avait pas procédé lui-même au chargement du véhicule, mais la cour cantonale s'est déclarée convaincue que le dépassement considérable du poids total admissible ne pouvait échapper au recourant. Or, au contraire de ce que le recourant savait (élément qui relève du fait) ce que le recourant devait savoir relève du droit. L'autorité administrative, tout comme la cour cantonale, était donc libre de procéder ainsi à sa propre appréciation juridique en se fondant sur les faits constatés au pénal.</w:t>
      </w:r>
    </w:p>
    <w:p>
      <w:r>
        <w:rPr>
          <w:b/>
        </w:rPr>
        <w:t>E. 2.3</w:t>
      </w:r>
    </w:p>
    <w:p>
      <w:r>
        <w:t>Tel qu'il est garanti à l' art. 29 al. 2 Cst. , le droit d'être entendu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 pertinentes, de participer à l'administration des preuves essentielles ou à tout le moins de s'exprimer sur son résultat, lorsque cela est de nature à influer sur la décision à rendre ( ATF 135 II 287 consid. 5.1 p. 293; 132 II 485 consid. 3.2 p. 494, V 368 consid. 3.1 p. 371; 129 II 497 consid. 2.2 p. 504 s.; 127 I 54 consid. 2b p. 56; 124 I 48 consid. 3a p. 51 et les arrêts cités).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130 II 425 consid. 2.1 p. 429; 125 I 127 consid. 6c/cc in fine p. 135; 124 I 208 consid. 4a p. 211 et les arrêts cités).</w:t>
      </w:r>
    </w:p>
    <w:p>
      <w:r>
        <w:rPr>
          <w:b/>
        </w:rPr>
        <w:t>E. 2.4</w:t>
      </w:r>
    </w:p>
    <w:p>
      <w:r>
        <w:t>La cour cantonale a estimé que le dépassement du poids autorisé ne pouvait échapper au recourant. Cette considération n'a rien d'arbitraire. Garagiste professionnel, le recourant ne pouvait manquer de remarquer que le véhicule était surchargé, que ce soit de visu (comme l'ont d'ailleurs fait les policiers qui ont décelé le problème à la simple vue du véhicule) ou lorsqu'il s'est mis au volant. Le recourant relève que les policiers ne l'auraient pas forcé à se rendre à la Blécherette s'ils avaient eux-mêmes soupçonné un état de fait dangereux. On ne voit toutefois pas de quelle autre manière ils auraient pu procéder à la vérification requise. Le fait que le véhicule ait été escorté pouvait en outre contribuer à réduire le risque. Dans ces conditions, le fait que le recourant a agi pour rendre service, qu'il n'a pas participé au chargement du véhicule et que ce dernier ne lui appartenait pas, apparaît sans pertinence pour juger de la faute commise, et c'est à juste titre que la cour cantonale pouvait s'estimer suffisamment renseignée sur les faits de la cause. Il n'y a pas dès lors de violation du droit d'être entendu.</w:t>
      </w:r>
    </w:p>
    <w:p>
      <w:r>
        <w:rPr>
          <w:b/>
        </w:rPr>
        <w:t>E. 3</w:t>
      </w:r>
    </w:p>
    <w:p>
      <w:r>
        <w:t>Sur le vu de ce qui précède, le recours constitutionnel subsidiaire est irrecevable, et le recours en matière de droit public doit être rejeté, aux frais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