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352/2019 vom 27. Mai 2020</w:t>
      </w:r>
    </w:p>
    <w:p>
      <w:r>
        <w:t>Bundesgericht, 2020-05-27, DE</w:t>
      </w:r>
    </w:p>
    <w:p>
      <w:r>
        <w:rPr>
          <w:b/>
        </w:rPr>
        <w:t xml:space="preserve">Quelle: </w:t>
      </w:r>
      <w:r>
        <w:t>https://mcp.opencaselaw.ch/entscheid/bger_1C_352_2019</w:t>
      </w:r>
    </w:p>
    <w:p>
      <w:r>
        <w:t>FR: TF 1C 352/2019 du 27 mai 2020</w:t>
      </w:r>
    </w:p>
    <w:p>
      <w:r>
        <w:t>IT: TF 1C 352/2019 del 27 maggio 2020</w:t>
      </w:r>
    </w:p>
    <w:p>
      <w:pPr>
        <w:pStyle w:val="Heading2"/>
      </w:pPr>
      <w:r>
        <w:t>Regeste</w:t>
      </w:r>
    </w:p>
    <w:p>
      <w:r>
        <w:t>Lärmsanierungsprojekt Kantonsstrasse Hüttwilen | Raumplanung und öffentliches Baurecht</w:t>
      </w:r>
    </w:p>
    <w:p>
      <w:pPr>
        <w:pStyle w:val="Heading2"/>
      </w:pPr>
      <w:r>
        <w:t>Erwägungen</w:t>
      </w:r>
    </w:p>
    <w:p>
      <w:r>
        <w:rPr>
          <w:b/>
        </w:rPr>
        <w:t>E. 1</w:t>
      </w:r>
    </w:p>
    <w:p>
      <w:r>
        <w:t>Angefochten ist ein kantonal letztinstanzlicher Endentscheid ( Art. 86 Abs. 1 lit. d und Art. 90 BGG ) in einer öffentlich-rechtlichen Angelegenheit ( Art. 82 lit. a BGG ). Dagegen steht grundsätzlich die Beschwerde in öffentlich-rechtlichen Angelegenheiten offen. Die Beschwerdeführer machen geltend, das Verwaltungsgericht habe den Nichteintretensentscheid des DBU zu Unrecht geschützt und habe dadurch ihre Parteirechte verletzt. Zu dieser Rüge sind sie nach Art. 89 Abs. 1 BGG befugt, ungeachtet ihrer Legitimation in der Sache. Auf die rechtzeitig erhobene Beschwerde ist daher einzutreten.</w:t>
      </w:r>
    </w:p>
    <w:p>
      <w:r>
        <w:rPr>
          <w:b/>
        </w:rPr>
        <w:t>E. 2</w:t>
      </w:r>
    </w:p>
    <w:p>
      <w:r>
        <w:t>Gemäss Art. 111 Abs. 1 BGG kann sich, wer zur Beschwerde an das Bundesgericht berechtigt ist, auch an allen Verfahren vor kantonalen Vorinstanzen als Partei beteiligen. Die kantonalen Behörden dürfen somit die Einsprachebefugnis gegen Entscheide weiter, nicht aber enger fassen, als dies für die Beschwerde an das Bundesgericht vorgesehen ist ( BGE 135 II 145 E. 5 S. 149 f. mit Hinweis). Zur Beschwerde in öffentlich-rechtlichen Angelegenheiten an das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353 E. 3 S. 356 f., 400 E. 2.2 S. 404 f.). Unzulässig sind Beschwerden, mit denen ein bloss allgemeines öffentliches Interesse an der richtigen Anwendung des Rechts verfolgt wird, ohne dass dem Beschwerdeführer im Falle des Obsiegens ein praktischer Nutzen entsteht ( BGE 133 II 240 E. 1.3.2 S. 253). Das Bundesgericht prüft die Anwendung von Art. 111 Abs. 1 und Art. 89 BGG als Bundesrecht frei ( Art. 106 Abs. 1 BGG ). Es legt seinem Urteil den Sachverhalt zugrunde, den die Vorinstanz festgestellt hat, sofern dieser nicht offensichtlich unrichtig ist oder auf einer Rechtsverletzung beruht ( Art. 105 Abs. 1 und 2 BGG ).</w:t>
      </w:r>
    </w:p>
    <w:p>
      <w:r>
        <w:rPr>
          <w:b/>
        </w:rPr>
        <w:t>E. 3</w:t>
      </w:r>
    </w:p>
    <w:p>
      <w:r>
        <w:t>In der Sache geht es um ein Lärmsanierungsprojekt für die Hauptstrasse (Kantonsstrasse) von Hüttwilen. Die Beschwerdeführer wandten sich mit ihrer Einsprache gegen die Erteilung von Erleichterungen, bevor Massnahmen zur Lärmreduktion an der Quelle, durch Herabsetzung der Höchstgeschwindigkeit im Dorfkern von Hüttwilen, näher geprüft worden seien, und beantragten hierfür die Einholung eines Gutachtens nach Art. 108 SSV .</w:t>
      </w:r>
    </w:p>
    <w:p>
      <w:r>
        <w:rPr>
          <w:b/>
        </w:rPr>
        <w:t>E. 3.1</w:t>
      </w:r>
    </w:p>
    <w:p>
      <w:r>
        <w:t>Das Verwaltungsgericht erwog, als Direktanstösser an die Kantonsstrasse verfügten die Beschwerdeführer über eine räumliche Beziehungsnähe zum Projekt bzw. zur sanierungspflichtigen Strasse. Dagegen fehle ein schutzwürdiges Interesse an der Aufhebung oder Änderung der mit dem Lärmsanierungsprojekt gewährten Erleichterungen: Gemäss Technischem Bericht sei der Immissionsgrenzwert für die Lärmempfindlichkeitsstufe III gemäss Anh. 3 LSV (65 dB[A] tagsüber und 55 dB[A] nachts) an der Liegenschaft der Beschwerdeführer nicht überschritten, weder für das Jahr 2017 (tagsüber 64 dB[A] und nachts 49 dB[A]) noch für das Jahr 2037 (65 dB[A] tagsüber und 50 dB[A] nachts). Da die Lärmbelastung somit nicht übermässig sei, fielen Lärmschutzmassnahmen an der Quelle im Bereich der Liegenschaft der Beschwerdeführer ausser Betracht, d.h. an der von den Einsprechern geltend gemachten Lärmbelastung würde sich im Falle einer Gutheissung der Einsprache nichts ändern. Es sei daher kein praktischer Nutzen der Einsprache ersichtlich. Die Beschwerdeführer würden durch das Lärmsanierungsprojekt weder rechtlich noch faktisch in eigenen Interessen benachteiligt.</w:t>
      </w:r>
    </w:p>
    <w:p>
      <w:r>
        <w:rPr>
          <w:b/>
        </w:rPr>
        <w:t>E. 3.2</w:t>
      </w:r>
    </w:p>
    <w:p>
      <w:r>
        <w:t>Dem halten die Beschwerdeführer zu Recht entgegen, dass eine allfällige Herabsetzung der Höchstgeschwindigkeit im Dorfzentrum von Hüttwilen nicht parzellenweise, sondern für einen längeren Strassenabschnitt angeordnet werden müsste, mit der Folge, dass die positiven Effekte dieser Massnahme auch ihrer Liegenschaft zugute kämen. Aus dem Technischen Bericht (Anh. 2.1 und Anh. 2.2 Plan 3/5) ergibt sich, dass die meisten Bauten mit IGW-Überschreitung im Dorfzentrum von Hüttwilen liegen, in der sich auch die Liegenschaft der Beschwerdeführer (Hauptstrasse 24) befindet. Betroffen sind insbesondere auch die beiden angrenzenden Bauten (Hauptstrasse 22 und 26). Würde zu deren Schutz eine Herabsetzung der Höchstgeschwindigkeit angeordnet, käme auch die Liegenschaft der Beschwerdeführer in den Genuss der Emissionsbegrenzung. Eine Absenkung der Geschwindigkeit von 50 km/h auf 30 km/h reduziert die Lärmemission nach Einschätzung des BAFU i.d.R. um rund 3 dB (A) (https://www.bafu.admin.ch/bafu/de/home/themen/laerm/fachinformationen/massnahmen-gegen-laerm/massnahmen-gegen-strassenlaerm/geschwindigkeitsreduktion.html), was in etwa einer Halbierung des Lärms entspricht (Vereinigung kantonaler Lärmschutzfachleute Cercle bruit, Lärmreduzierende Wirkung von Tempo 30, Faktenblatt kurz, Dezember 2018). Dies stellt einen evidenten praktischen Nutzen dar, auch wenn die massgeblichen Immissionsgrenzwerte eingehalten sind.</w:t>
      </w:r>
    </w:p>
    <w:p>
      <w:r>
        <w:rPr>
          <w:b/>
        </w:rPr>
        <w:t>E. 3.3</w:t>
      </w:r>
    </w:p>
    <w:p>
      <w:r>
        <w:t>In diesem Zusammenhang ist daran zu erinnern, dass nach ständiger bundesgerichtlicher Rechtsprechung Personen, die von Immissionen betroffen sind, schon dann zur Einsprache und Beschwerde legitimiert sind, wenn sie die Immissionen deutlich wahrnehmen können, auch wenn keine Belastungswerte überschritten sind (vgl. zu Lärmimmissionen z.B. BGE 133 II 181 E. 3.2.2 S. 188; zu Lichtimmissionen BGE 140 II 214 E. 2.4; vgl. noch BGE 128 II 168 E. 2.3 S. 171 zum Spezialfall der - nicht direkt wahrnehmbaren - nichtionisierenden Strahlung). Gestützt auf das Vorsorgeprinzip ( Art. 11 Abs. 2 USG ) kann eine Senkung der Lärmbelastung auch unter die Schwelle der Immissionsgrenzwerte verlangt werden ( BGE 126 II 366 E. 2b S. 368; Urteil 1C_311/2007 vom 21. Juli 2008 E. 3.2, in: URP 2008 599 ff.; je mit Hinweisen) bzw. bei Neuanlagen eine Unterschreitung der Planungswerte ( BGE 141 II 476 E. 3.2 S. 479 mit Hinweisen).</w:t>
      </w:r>
    </w:p>
    <w:p>
      <w:r>
        <w:rPr>
          <w:b/>
        </w:rPr>
        <w:t>E. 3.4</w:t>
      </w:r>
    </w:p>
    <w:p>
      <w:r>
        <w:t>Zusammenfassend haben die Beschwerdeführer ein schutzwürdiges Interesse an der Prüfung von emissionsmindernden Massnahmen an der Quelle, und sind daher befugt, gegen die Gewährung von Erleichterungen Einsprache zu erheben, auch wenn diese nicht ihr Grundstück betreffen. Es kann daher offenbleiben, ob die Beschwerdeführer in ihrer Einsprache auch die Lärmberechnungen für ihre Liegenschaft in Zweifel gezogen haben.</w:t>
      </w:r>
    </w:p>
    <w:p>
      <w:r>
        <w:rPr>
          <w:b/>
        </w:rPr>
        <w:t>E. 4</w:t>
      </w:r>
    </w:p>
    <w:p>
      <w:r>
        <w:t>Nach dem Gesagten ist die Beschwerde gutzuheissen und der angefochtene Entscheid aufzuheben. Die Sache wird zu materieller Behandlung der Anträge der Beschwerdeführer an das DBU und zur Neuverlegung der Kosten des vorinstanzlichen Verfahrens an das Verwaltungsgericht zurückgewiesen. Bei diesem Ausgang des Verfahrens sind keine Kosten zu erheben ( Art. 66 Abs. 4 BGG ). Die nicht anwaltlich vertretenen Beschwerdeführer haben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