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1C_351/2023 vom 6. September 2024</w:t>
      </w:r>
    </w:p>
    <w:p>
      <w:r>
        <w:t>Bundesgericht, 2024-09-06, DE</w:t>
      </w:r>
    </w:p>
    <w:p>
      <w:r>
        <w:rPr>
          <w:b/>
        </w:rPr>
        <w:t xml:space="preserve">Quelle: </w:t>
      </w:r>
      <w:r>
        <w:t>https://mcp.opencaselaw.ch/entscheid/bger_1C_351_2023</w:t>
      </w:r>
    </w:p>
    <w:p>
      <w:r>
        <w:t>FR: TF 1C_351/2023 du 6 septembre 2024</w:t>
      </w:r>
    </w:p>
    <w:p>
      <w:r>
        <w:t>IT: TF 1C_351/2023 del 6 settembre 2024</w:t>
      </w:r>
    </w:p>
    <w:p>
      <w:pPr>
        <w:pStyle w:val="Heading2"/>
      </w:pPr>
      <w:r>
        <w:t>Erwägungen</w:t>
      </w:r>
    </w:p>
    <w:p>
      <w:r>
        <w:rPr>
          <w:b/>
        </w:rPr>
        <w:t>E. 1.1</w:t>
      </w:r>
    </w:p>
    <w:p>
      <w:r>
        <w:t>Beim angefochtenen Entscheid, mit welchem der Entzug der aufschiebenden Wirkung des Rekurses bestätigt wurde, handelt es sich um einen selbständig eröffneten Zwischenentscheid. Ein solcher ist unter anderem anfechtbar, wenn er einen nicht wieder gutzumachenden Nachteil bewirken kann ( Art. 93 Abs. 1 lit. a BGG ). Dieser Nachteil muss rechtlicher Natur sein. Das setzt voraus, dass er sich auch mit einem späteren günstigen Endentscheid nicht oder nicht gänzlich beseitigen lässt ( BGE 147 III 159 E. 4.1; 142 III 798 E. 2.2; 141 III 80 E. 1.2; je mit Hinweisen). Die blosse Möglichkeit eines nicht wieder gutzumachenden Nachteils rechtlicher Natur genügt ( BGE 141 III 395 E. 2.5). Vorliegend berufen sich die Beschwerdeführenden darauf, dass ihre Pferde bei einem Entzug der aufschiebenden Wirkung (vorübergehend) fremdplatziert werden müssten. Dadurch entstünden ihnen nicht nur Zusatzkosten; sie befürchten zudem eine Traumatisierung der Pferde durch die zwangsweise Umplatzierung und damit eine Gefährdung des Tierwohls. Ein solcher Nachteil liesse sich bei einer Gutheissung der Beschwerde in der Hauptsache nicht rückgängig machen und erscheint zumindest nicht ausgeschlossen.</w:t>
      </w:r>
    </w:p>
    <w:p>
      <w:r>
        <w:rPr>
          <w:b/>
        </w:rPr>
        <w:t>E. 1.2</w:t>
      </w:r>
    </w:p>
    <w:p>
      <w:r>
        <w:t>In der Hauptsache geht es um die Rechtmässigkeit eines Vollstreckungsentscheids, der insbesondere die Einhaltung des rechtskräftig verfügten Benützungsverbots der Garage als Pferdestall anordnete, und damit um eine Angelegenheit des öffentlichen Baurechts. Dagegen steht die Beschwerde in öffentlich-rechtlichen Angelegenheiten offen (Art. 82 f. BGG). Die Beschwerdeführenden haben am vorinstanzlichen Verfahren teilgenommen und sind als Eigentümerin bzw. Eigentümer der vom Benützungsverbot betroffenen Garage vom angefochtenen Entscheid besonders betroffen. Damit sind sie zur Beschwerde legitimiert ( Art. 89 Abs. 1 BGG ). Die weiteren Sachurteilsvoraussetzungen geben zu keinen Bemerkungen Anlass, sodass auf die Beschwerde grundsätzlich eingetreten werden kann.</w:t>
      </w:r>
    </w:p>
    <w:p>
      <w:r>
        <w:rPr>
          <w:b/>
        </w:rPr>
        <w:t>E. 1.3</w:t>
      </w:r>
    </w:p>
    <w:p>
      <w:r>
        <w:t>Das vorliegende Verfahren ist durch das bundesgerichtliche Urteil 1C_655/2023 vom 16. Mai 2024 nicht gegenstandslos geworden. So führt der Regierungsrat aus, der - unterdessen rechtskräftige - Beschluss des Gemeinderats Gächlingen betreffend die Verweigerung der nachträglichen Baubewilligung vom 28. Februar 2023, mit dem gleichzeitig die Wiederherstellung des rechtmässigen Zustands verfügt wurde, stelle keinen Vollstreckungsentscheid dar. Dies wird auch von der Gemeinde (und den Beschwerdeführenden) nicht in Frage gestellt. Wie das kantonale Verfahren nach Abschluss des Verfahrens betreffend die nachträgliche Baubewilligungverweigerung fortzusetzen ist, ist von den kantonalen Behörden zu entscheiden. Streitgegenstand des vorliegenden Verfahrens bildet einzig die Frage, ob das Obergericht den Entzug der aufschiebenden Wirkung des Rekurses durch den Regierungsrat zu Recht bestätigt hat.</w:t>
      </w:r>
    </w:p>
    <w:p>
      <w:r>
        <w:rPr>
          <w:b/>
        </w:rPr>
        <w:t>E. 2.1</w:t>
      </w:r>
    </w:p>
    <w:p>
      <w:r>
        <w:t>Bei einem Zwischenentscheid über die aufschiebende Wirkung handelt es sich um eine vorsorgliche Massnahme gemäss Art. 98 BGG ( BGE 134 II 192 E. 1.5 mit Hinweis). Mit der Beschwerde kann somit nur die Verletzung von verfassungsmässigen Rechten gerügt werden. Insoweit gelten die qualifizierten Begründungsanforderungen nach Art. 106 Abs. 2 BGG ( BGE 147 II 44 E. 1.2 mit Hinweis).</w:t>
      </w:r>
    </w:p>
    <w:p>
      <w:r>
        <w:rPr>
          <w:b/>
        </w:rPr>
        <w:t>E. 2.2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dürfen nur so weit vorgebracht werden, als erst der Entscheid der Vorinstanz dazu Anlass gibt ( Art. 99 Abs. 1 BGG ). Unzulässig sind damit neue Tatsachen, die bereits der Vorinstanz hätten vorgelegt werden können ( BGE 143 V 19 E. 1.2; 136 III 123 E. 4.4.3). Das Vorbringen von Tatsachen, die sich erst nach dem angefochtenen Entscheid ereignet haben oder entstanden sind (echte Noven), ist vor Bundesgericht grundsätzlich unzulässig ( BGE 149 III 465 E. 5.5.1; 143 V 19 E. 1.1; je mit Hinweisen). Dies bedeutet jedoch nicht, dass das zwischenzeitlich ergangene bundesgerichtliche Urteil 1C_655/2023 vom 16. Mai 2024 nicht berücksichtigt werden dürfte (vgl. Urteil 1C_99/2020, 1C_109/2020 vom 22. November 2023 E. 2).</w:t>
      </w:r>
    </w:p>
    <w:p>
      <w:r>
        <w:t>Die von den Beschwerdeführenden neu vorbrachten Tatsachen und Beweismittel im Zusammenhang mit ihren privaten Interessen an der aufschiebenden Wirkung sind mit Blick auf die nachfolgenden Erwägungen nicht entscheidwesentlich (vgl. E. 3.6 hiernach). Aus diesem Grund braucht nicht beurteilt zu werden, ob es sich dabei um unzulässige unechte oder echte Noven handelt. Dasselbe gilt für die von der Gemeinde in diesem Zusammenhang neu eingebrachten Tatsachen.</w:t>
      </w:r>
    </w:p>
    <w:p>
      <w:r>
        <w:rPr>
          <w:b/>
        </w:rPr>
        <w:t>E. 3</w:t>
      </w:r>
    </w:p>
    <w:p>
      <w:r>
        <w:t>Die Beschwerdeführenden werfen dem Obergericht vor, den Entzug der aufschiebenden Wirkung ihres Rekurses an den Regierungsrat in willkürlicher Weise ( Art. 9 BV ) bestätigt zu haben.</w:t>
      </w:r>
    </w:p>
    <w:p>
      <w:r>
        <w:rPr>
          <w:b/>
        </w:rPr>
        <w:t>E. 3.1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142 V 513 E. 4.2; je mit Hinweisen).</w:t>
      </w:r>
    </w:p>
    <w:p>
      <w:r>
        <w:rPr>
          <w:b/>
        </w:rPr>
        <w:t>E. 3.2</w:t>
      </w:r>
    </w:p>
    <w:p>
      <w:r>
        <w:t>Das Obergericht stützt seinen Entscheid auf Art. 23 des Gesetzes des Kantons Schaffhausen vom 20. September 1971 über den Rechtsschutz in Verwaltungssachen (Verwaltungsrechtspflegegesetz, VRG/SH; SHR 172.200), wonach der Rekurs aufschiebende Wirkung hat, wenn die Vorinstanz nicht aus besonderen Gründen etwas anderes anordnet (Abs. 1). Die Rekursinstanz kann eine gegenteilige Verfügung treffen (Abs. 2 Satz 1).</w:t>
      </w:r>
    </w:p>
    <w:p>
      <w:r>
        <w:t>Das Obergericht erwägt hierzu Folgendes: Da von der gesetzlichen Ordnung auszugehen sei, dürfe dem Rekurs grundsätzlich nur ausnahmsweise bei Vorliegen besonderer, qualifizierter und zwingender Gründe die aufschiebende Wirkung entzogen werden, wenn dies zur Wahrung überwiegender öffentlicher oder privater Interessen notwendig und dringlich sei, um einen Nachteil zu verhindern, der nicht leicht wieder gutgemacht werden könne. Im Vollstreckungsverfahren sei indes zu berücksichtigen, dass bereits ein rechtskräftiger Entscheid ergangen sei, an dessen Vollstreckung grundsätzlich ein erhebliches öffentliches Interesse bestehe.</w:t>
      </w:r>
    </w:p>
    <w:p>
      <w:r>
        <w:rPr>
          <w:b/>
        </w:rPr>
        <w:t>E. 3.3</w:t>
      </w:r>
    </w:p>
    <w:p>
      <w:r>
        <w:t>Die Beschwerdeführenden kritisieren, im angefochtenen Entscheid würden die in der ständigen kantonalen Rechtsprechung und Lehre entwickelten Anforderungen an den Entzug der aufschiebenden Wirkungen unvollständig wiedergegeben. In der Zwischenverfügung des Vorsitzenden des Obergerichts (Oliver Herrmann) vom 31. Oktober 2022, mit welcher die aufschiebende Wirkung ihres Rekurses einstweilen wiederhergestellt worden sei, werde hingegen (noch) darauf hingewiesen, dass der Entzug der aufschiebenden Wirkung nur dann zulässig sei, wenn "andernfalls ein schwerer Nachteil droht, namentlich die unmittelbar bevorstehende, wesentliche Beeinträchtigung bedeutender Polizeigüter" (OLIVER HERRMANN, in: Meyer/Herrmann/Bilger [Hrsg.], Kommentar zur Schaffhauser Verwaltungsrechtspflege, 2021, N. 15 zu Art. 23 VRG/SH). Im Weiteren sei in der besagten Zwischenverfügung festgehalten worden, abgesehen vom Interesse an der Rechtsdurchsetzung würden keine anderen zwingenden öffentlichen oder privaten Interessen am Entzug der aufschiebenden Wirkung behauptet oder sich aus den Akten ergeben. Anstatt zu prüfen, ob ein solch schwerer Nachteil drohe, also namentlich bedeutende Polizeigüter wesentlich beeinträchtigt werden könnten, gehe die Vorinstanz im angefochtenen Entscheid unmittelbar zu einer Interessenabwägung über. Indem sie die unbestrittenen, von der Lehre und Rechtsprechung entwickelten Anforderungen an den Entzug der aufschiebenden Wirkungen gar nicht erst prüfe, verletze sie die anerkannte Auslegung von Art. 23 Abs. 1 VRG/SH und somit auch die Norm selbst in krasser Art und Weise und verfalle damit in Willkür.</w:t>
      </w:r>
    </w:p>
    <w:p>
      <w:r>
        <w:rPr>
          <w:b/>
        </w:rPr>
        <w:t>E. 3.4</w:t>
      </w:r>
    </w:p>
    <w:p>
      <w:r>
        <w:t>Die vom Obergericht angeführten öffentlichen Interessen am Schutz der Rechtsordnung, der Rechtssicherheit und der Durchsetzung des rechtskräftigen Benützungsverbots sind zwar bedeutsam. Dies ist aber nicht ausreichend. Vielmehr bedarf es besonderer Gründe (so ausdrücklich Art. 23 Abs. 1 VRG/SH), da vom gesetzlichen Regelfall der aufschiebenden Wirkung abgewichen wird. Den kantonalen Behörden steht bei der Beurteilung dieser besonderen Gründe zwar ein erheblicher Ermessensspielraum zu (vgl. BGE 129 II 286 E. 3 und E. 3.2, wonach nicht nur ganz aussergewöhnliche Umstände den Entzug zu rechtfertigen vermögen). Ein Abweichen von der gesetzlichen Ordnung rechtfertigen aber nur Gründe, die nicht in nahezu jedem Fall vorliegen. Würden solche Gründe anerkannt, würde die Ausnahme zur Regel, was dem Sinn des kantonalen Gesetzes widerspräche (vgl. in diesem Sinne auch MICHEL DAUM/DAVID RECHSTEINER, in: Ruth Herzog/ Michel Daum [Hrsg.], Kommentar zum Gesetz über die Verwaltungsrechtspflege im Kanton Bern [VRPG/BE], 2. Aufl. 2020, N. 23 Art. 68 VRPG/BE). Zudem soll verhindert werden, dass mit dem vorzeitigen Vollzug einer Anordnung während des Rekursverfahrens Präjudizien geschaffen werden können, die den Entscheid in der Hauptsache vorwegnehmen und den Rekurs illusorisch werden lassen (vgl. HERRMANN, a.a.O., N. 4 Art. 23 VRG/SH).</w:t>
      </w:r>
    </w:p>
    <w:p>
      <w:r>
        <w:rPr>
          <w:b/>
        </w:rPr>
        <w:t>E. 3.5</w:t>
      </w:r>
    </w:p>
    <w:p>
      <w:r>
        <w:t>Vorsorgliche Massnahmen, die - wie der Entzug der aufschiebenden Wirkung - vor dem Entscheid in der Hauptsache ergehen, zielen darauf ab, dessen Wirksamkeit sicherzustellen (vgl. BGE 130 II 149 E. 2.2). So ist nach kantonaler Praxis - wie die Vorinstanz selbst ausführt - denn auch vorausgesetzt, dass der Entzug der aufschiebenden Wirkung zur Wahrung überwiegender öffentlicher oder privater Interessen notwendig und dringlich sein muss, um einen Nachteil zu verhindern, der nicht leicht wieder gutgemacht werden kann (vgl. HERRMANN, a.a.O., N. 15 Art. 23 VRG/SH mit Verweisung auf Urteil 1C_19/2018 vom 2. März 2018 E. 3.1). Ein solcher Nachteil besteht, sobald Zustände geschaffen werden, die sich nicht mehr oder nicht mehr leicht ändern lassen und somit die Wirksamkeit des Entscheids in der Hauptsache vereiteln (vgl. in diesem Sinne auch ANDREAS BAUMANN, in: Baumann et al., Kommentar zum Baugesetz des Kantons Aargau [BauG/AG], 2013, N. 24 zu § 159). Daneben setzt der Entscheid über die Anordnung vorsorglicher Massnahmen bzw. der Entzug der aufschiebenden Wirkung Dringlichkeit voraus, d.h. es muss sich als notwendig erweisen, die fraglichen Vorkehren sofort zu treffen, um die betroffenen Interessen zu wahren (vgl. BGE 130 II 149 E. 2.2; Urteil 1C_344/2021 vom 14. Januar 2022 E. 2.6). Zeitliche Dringlichkeit besteht, wenn mit der Massnahme nicht zugewartet werden kann, bis das (Hauptsache-) Verfahren abgeschlossen ist, weil sich nach dem voraussehbaren Kausalverlauf der drohende Nachteil bzw. die abzuwendende Gefahr bis dahin bereits verwirklicht haben wird (vgl. ISABELLE HÄNER, Vorsorgliche Massnahmen im Verwaltungsverfahren und Verwaltungsprozess, ZSR 116/1997 II S. 253 ff., S. 341 Rz. 111).</w:t>
      </w:r>
    </w:p>
    <w:p>
      <w:r>
        <w:rPr>
          <w:b/>
        </w:rPr>
        <w:t>E. 3.6</w:t>
      </w:r>
    </w:p>
    <w:p>
      <w:r>
        <w:t>Welche Anforderungen an den drohenden Nachteil gestellt werden bzw. ob nach kantonaler Praxis hierfür nur die Bedrohung bedeutender Polizeigüter (wie öffentliche Ordnung, Ruhe, Sicherheit, Sittlichkeit oder Gesundheit) in Frage kommt, braucht vorliegend nicht abschliessend beurteilt zu werden. Soweit im zu beurteilenden Fall überhaupt die Gefahr bestünde, dass der in der Hauptsache angestrebte Zweck (Durchsetzung des Benützungsverbots) nicht mehr erreicht werden könnte oder durch ein langes Verfahren mit Suspensiveffekt hintertrieben würde (vgl. BGE 129 II 286 E. 3.2; GEROLD STEINMANN, Vorläufiger Rechtsschutz im Verwaltungsbeschwerdeverfahren und im Verwaltungsgerichtsverfahren, ZBl 94/1993 S. 141 ff., insbesondere S. 149 f.), fehlt es vorliegend jedenfalls am Erfordernis der zeitlichen Dringlichkeit. Es sind keine besonderen Gründe ersichtlich, die dafür sprechen würden, dass mit dem Benützungsverbot der Garage bzw. der damit einhergehenden Fremdplatzierung der Pferde nicht bis zum Abschluss des Hauptverfahrens zugewartet werden könnte. Überzeugende Gründe wie beispielsweise berechtigte nachbarliche Interessen, insbesondere infolge Lärm- und Geruchsimmissionen, werden im angefochtenen Entscheid auch nicht genannt. Dem Regierungsrat hätte es im Übrigen freigestanden, die Sache beförderlich zu behandeln und in der seit Herbst 2022 hängigen Hauptsache einen materiellen Entscheid zu fällen. Es gilt sodann zu beachten, dass der Rekursentscheid in der Sache durch den Entzug der aufschiebenden Wirkung vorweggenommen würde. Vorliegend fehlt es daher bereits an besonderen Gründen für eine sofortige Durchsetzung des Benützungsverbots, weshalb der ausnahmsweise Entzug der aufschiebenden Wirkung ausgeschlossen ist. Es erübrigt sich somit, auf die vorinstanzliche Interessenabwägung näher einzugehen (vgl. BGE 129 II 286 E. 3.3).</w:t>
      </w:r>
    </w:p>
    <w:p>
      <w:r>
        <w:rPr>
          <w:b/>
        </w:rPr>
        <w:t>E. 3.7</w:t>
      </w:r>
    </w:p>
    <w:p>
      <w:r>
        <w:t>Nach dem Gesagten erweist sich die Rüge der Verletzung des Willkürverbots als begründet. Daran ändert auch das inzwischen ergangene Urteil 1C_655/2023 vom 16. Mai 2024 nichts.</w:t>
      </w:r>
    </w:p>
    <w:p>
      <w:r>
        <w:rPr>
          <w:b/>
        </w:rPr>
        <w:t>E. 4</w:t>
      </w:r>
    </w:p>
    <w:p>
      <w:r>
        <w:t>Die Beschwerde ist aus diesen Gründen gutzuheissen und der angefochtene Entscheid aufzuheben. Dem Rekurs der Beschwerdeführenden an den Regierungsrat ist antragsgemäss die aufschiebende Wirkung wieder zuzuerkennen. Vor diesem Hintergrund erübrigt es sich, die weiteren Rügen der Beschwerdeführenden (Gehörsverletzung und Verletzung der Eigentumsgarantie) zu behandeln.</w:t>
      </w:r>
    </w:p>
    <w:p>
      <w:r>
        <w:t>Bei diesem Verfahrensausgang sind keine Gerichtskosten zu erheben ( Art. 66 Abs. 1 und 4 BGG ). Der Kanton Schaffhausen hat den Beschwerdeführenden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