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1C_34/2022 vom 24. Januar 2022</w:t>
      </w:r>
    </w:p>
    <w:p>
      <w:r>
        <w:t>Bundesgericht, 2022-01-24, DE</w:t>
      </w:r>
    </w:p>
    <w:p>
      <w:r>
        <w:rPr>
          <w:b/>
        </w:rPr>
        <w:t xml:space="preserve">Quelle: </w:t>
      </w:r>
      <w:r>
        <w:t>https://mcp.opencaselaw.ch/entscheid/bger_1C_34_2022</w:t>
      </w:r>
    </w:p>
    <w:p>
      <w:r>
        <w:t>FR: TF 1C_34/2022 du 24 janvier 2022</w:t>
      </w:r>
    </w:p>
    <w:p>
      <w:r>
        <w:t>IT: TF 1C_34/2022 del 24 gennaio 2022</w:t>
      </w:r>
    </w:p>
    <w:p>
      <w:pPr>
        <w:pStyle w:val="Heading2"/>
      </w:pPr>
      <w:r>
        <w:t>Erwägungen</w:t>
      </w:r>
    </w:p>
    <w:p>
      <w:r>
        <w:rPr>
          <w:b/>
        </w:rPr>
        <w:t>E. 1</w:t>
      </w:r>
    </w:p>
    <w:p>
      <w:r>
        <w:t>Angefochten ist ein kantonal letztinstanzlicher Entscheid, mit dem das Verwaltungsgericht die nachträgliche Baubewilligung aufgehoben und die Sache an die Baubewilligungsbehörde zu neuem Entscheid zurückgewiesen hat; dagegen ist die Beschwerde in öffentlich-rechtlichen Angelegenheiten zulässig ( Art. 82 ff. BGG ). Er schliesst das Baubewilligungsverfahren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beschränkt sich diesbezüglich auf die unzutreffende Behauptung, beim angefochtenen Entscheid handle es sich um einen Endentscheid. Er legt damit unter Verletzung der gesetzlichen Begründungspflicht nicht dar, inwiefern die Voraussetzungen von Art. 93 Abs.1 BGG für die Anfechtung des nicht verfahrensabschliessenden Rückweisungsentscheids erfüllt sein sollen, und das ist auch nicht offensichtlich.</w:t>
      </w:r>
    </w:p>
    <w:p>
      <w:r>
        <w:rPr>
          <w:b/>
        </w:rPr>
        <w:t>E. 2</w:t>
      </w:r>
    </w:p>
    <w:p>
      <w:r>
        <w:t>Auf die Beschwerde ist im vereinfachten Verfahren nach Art. 108 Abs. 1 lit. a und b BGG nicht einzutreten, wobei die Kosten ausgangsgemäss dem Beschwerdeführer aufzuerlegen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