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1C_347/2023 vom 14. Juli 2023</w:t>
      </w:r>
    </w:p>
    <w:p>
      <w:r>
        <w:t>Bundesgericht, 2023-07-14, DE</w:t>
      </w:r>
    </w:p>
    <w:p>
      <w:r>
        <w:rPr>
          <w:b/>
        </w:rPr>
        <w:t xml:space="preserve">Quelle: </w:t>
      </w:r>
      <w:r>
        <w:t>https://mcp.opencaselaw.ch/entscheid/bger_1C_347_2023</w:t>
      </w:r>
    </w:p>
    <w:p>
      <w:r>
        <w:t>FR: TF 1C_347/2023 du 14 juillet 2023</w:t>
      </w:r>
    </w:p>
    <w:p>
      <w:r>
        <w:t>IT: TF 1C_347/2023 del 14 luglio 2023</w:t>
      </w:r>
    </w:p>
    <w:p>
      <w:pPr>
        <w:pStyle w:val="Heading2"/>
      </w:pPr>
      <w:r>
        <w:t>Erwägungen</w:t>
      </w:r>
    </w:p>
    <w:p>
      <w:r>
        <w:rPr>
          <w:b/>
        </w:rPr>
        <w:t>E. 1</w:t>
      </w:r>
    </w:p>
    <w:p>
      <w:r>
        <w:t>Die Beschwerdeschrift ist auf Italienisch verfasst. Das Verfahren vor Bundesgericht wird in einer Schweizer Amtssprache geführt, in der Regel in der Sprache des angefochtenen Entscheides ( Art. 54 Abs. 1 BGG ). Der angefochtene Entscheid erging auf Deutsch. Da der Rechtsvertreter der Beschwerdeführerin der deutschen Sprache ausreichend mächtig ist, besteht kein Anlass, von der gesetzlich vorgesehenen Regel abzuweichen.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die Übermittlung von Informationen aus dem Geheimbereich und damit um ein Sachgebiet, bei dem die Beschwerde nach Art. 84 Abs. 1 BGG insoweit möglich ist. Es handelt sich jedoch um keinen besonders bedeutenden Fall.</w:t>
      </w:r>
    </w:p>
    <w:p>
      <w:r>
        <w:t>Die Beschwerdeführenden machen unter Berufung auf Art. 2 IRSG (SR 351.1) geltend, die Ukraine vermöge derzeit die Menschenrechte nicht zu gewährleisten und das NABU übe Druck auf Zeugen aus, wende Gewalt an und verfolge Verfahrensbeteiligte. Einen Bezug zum hängigen Strafverfahren bzw. zu sich selbst stellen sie allerdings nicht her. Es ist nicht erkennbar, inwiefern sie von einer Verletzung von Art. 2 IRSG betroffen sein könnten, zumal sie ihren Wohnsitz bzw. Sitz in der Schweiz haben (vgl. Urteil 1C_338/2022 vom 17. Juni 2022 E. 1.2 und allgemein zu Inhalt und Anwendungsbereich von Art. 2 IRSG das zur Publ. vorgesehene Urteil 1C_624/2022 vom 21. April 2023 E. 3; je mit Hinweisen).</w:t>
      </w:r>
    </w:p>
    <w:p>
      <w:r>
        <w:t>Zur von den Beschwerdeführenden ebenfalls aufgeworfenen Frage der Relevanz der herauszugebenden Daten hat das Bundesstrafgericht ausgeführt, dass bereits im Rahmen der Hausdurchsuchung eine Triage durchgeführt worden sei, indem die potenziell relevanten Daten und Unterlagen anhand einer Suchliste mit Stichwörtern identifiziert worden seien. In der Folge habe eine zweite Triage stattgefunden, mit der weitere Daten ausgesondert worden seien. In der Schlussverfügung habe sich die Bundesanwaltschaft schliesslich zu jedem einzelnen der herauszugebenden Asservate und deren Bezug zum ukrainischen Strafverfahren geäussert. Gestützt auf diese Sachverhaltsfeststellung, welche die Beschwerdeführenden nicht substanziiert bestreiten, oblag es ihnen, konkret aufzuzeigen, inwiefern die zu übermittelnden Unterlagen ohne Interesse für das ausländische Verfahren sein sollten. Die vorinstanzlichen Ausführungen, auf die verwiesen werden kann, entsprechen der bundesgerichtlichen Rechtsprechung (vgl. BGE 130 II 14 E. 4.3 f.; Urteil 1C_307/2016 vom 2. August 2016 E. 1.2; je mit Hinweisen).</w:t>
      </w:r>
    </w:p>
    <w:p>
      <w:r>
        <w:rPr>
          <w:b/>
        </w:rPr>
        <w:t>E. 3</w:t>
      </w:r>
    </w:p>
    <w:p>
      <w:r>
        <w:t>Da der Fall auch nicht anderweitig als besonders bedeutsam erscheint, ist auf die Beschwerde nicht einzutreten. Damit wird das Gesuch um aufschiebende Wirkung gegenstandslos. Der Beschwerde kommt im vorliegenden Fall ohnehin schon von Gesetzes wegen aufschiebende Wirkung zu ( Art. 103 Abs. 2 lit. c BGG ).</w:t>
      </w:r>
    </w:p>
    <w:p>
      <w:r>
        <w:t>Bei diesem Ausgang des Verfahrens tragen die Beschwerdeführenden die Gerichtskosten ( Art. 66 Abs. 1 BGG ). Eine Parteientschädigung ist nicht zuzusprechen (Art. 68 Abs.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