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1C_347/2020 vom 24. Juni 2020</w:t>
      </w:r>
    </w:p>
    <w:p>
      <w:r>
        <w:t>Bundesgericht, 2020-06-24, DE</w:t>
      </w:r>
    </w:p>
    <w:p>
      <w:r>
        <w:rPr>
          <w:b/>
        </w:rPr>
        <w:t xml:space="preserve">Quelle: </w:t>
      </w:r>
      <w:r>
        <w:t>https://mcp.opencaselaw.ch/entscheid/bger_1C_347_2020</w:t>
      </w:r>
    </w:p>
    <w:p>
      <w:r>
        <w:t>FR: TF 1C_347/2020 du 24 juin 2020</w:t>
      </w:r>
    </w:p>
    <w:p>
      <w:r>
        <w:t>IT: TF 1C_347/2020 del 24 giugno 2020</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w:t>
      </w:r>
    </w:p>
    <w:p>
      <w:r>
        <w:t>Die Beschwerdeführerin beruft sich im Wesentlichen auf den Grundsatz "ne bis in idem" im Sinne von Art. 3 Abs. 1 lit. b des Staatsvertrags vom 25. Mai 1973 zwischen der Schweizerischen Eidgenossenschaft und den Vereinigten Staaten von Amerika über gegenseitige Rechtshilfe in Strafsachen (SR 0.351.933.6). Sie bezieht sich auf den Umstand, dass die Bundesanwaltschaft ein gegen D.________ geführtes Strafverfahren wegen des Verdachts der Geldwäscherei mit Verfügung vom 14. November 2019 eingestellt hatte. Nach der bundesgerichtlichen Rechtsprechung ist die Anwendung des Grundsatzes "ne bis in idem" dem ersuchenden Staat zu überlassen, wenn die betroffenen Personen und der Sachverhalt nicht eindeutigerweise identisch sind. Zudem weist das Bundesstrafgericht zu Recht darauf hin, dass nach schweizerischem Recht gemäss Art. 323 StPO ein durch Einstellungsverfügung rechtskräftig beendetes Verfahren wieder aufgenommen werden kann, wenn neue Beweismittel oder Tatsachen bekannt werden, die für eine strafrechtliche Verantwortlichkeit der beschuldigten Person sprechen und sich nicht aus den früheren Akten ergeben. Schliesslich kann sich nur auf die Verletzung des Grundsatzes "ne bis in idem" berufen, wer selbst davon betroffen ist (zum Ganzen: Urteile 1C_534/2015 vom 22. Oktober 2015 E. 1.2 mit Hinweisen; 1C_298/2014 vom 12. Juni 2014 E. 1.3; 1C_248/2014 vom 26. Mai 2014 E. 1.3; 1A.282/2005 vom 30. April 2007 E. 3.2 mit Hinweisen, in: RtiD 2007 II S. 105). Die erwähnte Einstellungsverfügung betrifft nicht die Beschwerdeführerin selbst und steht somit der Rechtshilfe nicht entgegen.</w:t>
      </w:r>
    </w:p>
    <w:p>
      <w:r>
        <w:t>Die weiteren Erwägungen im angefochtenen Entscheid sind ebenfalls überzeugend. Rechtliche Grundsatzfragen stellen sich nicht. Auch sonst ist der Fall nicht von besonderer Bedeutung.</w:t>
      </w:r>
    </w:p>
    <w:p>
      <w:r>
        <w:rPr>
          <w:b/>
        </w:rPr>
        <w:t>E. 2</w:t>
      </w:r>
    </w:p>
    <w:p>
      <w:r>
        <w:t>Auf die Beschwerde ist nicht einzutreten.</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