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1C_347/2012 vom 29. Oktober 2012</w:t>
      </w:r>
    </w:p>
    <w:p>
      <w:r>
        <w:t>Bundesgericht, 2012-10-29, DE</w:t>
      </w:r>
    </w:p>
    <w:p>
      <w:r>
        <w:rPr>
          <w:b/>
        </w:rPr>
        <w:t xml:space="preserve">Quelle: </w:t>
      </w:r>
      <w:r>
        <w:t>https://mcp.opencaselaw.ch/entscheid/bger_1C_347_2012</w:t>
      </w:r>
    </w:p>
    <w:p>
      <w:r>
        <w:t>FR: TF 1C_347/2012 du 29 octobre 2012</w:t>
      </w:r>
    </w:p>
    <w:p>
      <w:r>
        <w:t>IT: TF 1C_347/2012 del 29 ottobre 2012</w:t>
      </w:r>
    </w:p>
    <w:p>
      <w:pPr>
        <w:pStyle w:val="Heading2"/>
      </w:pPr>
      <w:r>
        <w:t>Erwägungen</w:t>
      </w:r>
    </w:p>
    <w:p>
      <w:r>
        <w:rPr>
          <w:b/>
        </w:rPr>
        <w:t>E. 1</w:t>
      </w:r>
    </w:p>
    <w:p>
      <w:r>
        <w:t>Der angefochtene, kantonal letztinstanzliche Entscheid des Verwaltungsgerichts bestätigt, dass die Beschwerdeführerin für die Dauer des Rekursverfahrens nicht fahrberechtigt ist. Dagegen ist die Beschwerde in öffentlich-rechtlichen Angelegenheiten im Sinn der Art. 82 ff. BGG zulässig. Der Entscheid schliesst das Verfahren nicht ab, es handelt sich um einen Zwischenentscheid, gegen den die Beschwerde nach Art. 93 Abs. 1 BGG zulässig ist, wenn er einen nicht wiedergutzumachenden Nachteil bewirken kann. Ein solcher Nachteil ist vorliegend zu bejahen, da der Führerausweis der Beschwerdeführerin während der Dauer des Rekursverfahrens eingezogen bleibt (vgl. BGE 122 II 359 E. 1b S. 362; Urteil 1C_233/2007 vom 4. Februar 2008 E. 1.1). Fraglich erscheint allerdings, ob sie über ein aktuelles Rechtsschutzinteresse im Sinn von Art. 89 Abs. 1 BGG verfügt, sich gegen die Verweigerung der aufschiebenden Wirkung zur Wehr zu setzen, nachdem sie den Führerausweis nach eigenen Angaben am 2. März 2012 "freiwillig" und aus "verfahrensfernen Gründen" abgegeben habe. Das kann indessen offen bleiben, da die Beschwerde offensichtlich unbegründet ist.</w:t>
      </w:r>
    </w:p>
    <w:p>
      <w:r>
        <w:rPr>
          <w:b/>
        </w:rPr>
        <w:t>E. 2.1</w:t>
      </w:r>
    </w:p>
    <w:p>
      <w:r>
        <w:t>Gegenstand des Verfahrens ist einzig, ob das Verwaltungsgericht den Zwischenentscheid der Rekurskommission, dem Rekurs die aufschiebende Wirkung zu entziehen, ohne Verletzung von Bundesrecht schützen konnte. Soweit sich die Beschwerde gegen den Sicherheitsentzug selber richtet, was über weite Strecken der Fall ist, geht sie an der Sache vorbei. Darauf ist nicht einzutreten. Im Hauptverfahren werden insbesondere auch die von der Beschwerdeführerin gerügten Verfahrens- und Formängel zu beurteilen sein.</w:t>
      </w:r>
    </w:p>
    <w:p>
      <w:r>
        <w:rPr>
          <w:b/>
        </w:rPr>
        <w:t>E. 2.2</w:t>
      </w:r>
    </w:p>
    <w:p>
      <w:r>
        <w:t>Wird eine verkehrsmedizinische Abklärung angeordnet, so ist der Führerausweis nach Art. 30 VZV im Prinzip vorsorglich zu entziehen ( BGE 125 II 396 E. 3 S. 401; Urteile 1C_356/2011 vom 17. Januar 2012 E. 2.2; 1C_420/2007 vom 18. März 2008 E. 3.2 und 6A.17/2006 vom 12. April 2006 E. 3.2; vgl. auch 1C_256/2011 vom 22. September 2011 E. 2.5). Diesfalls steht die Fahreignung der Betroffenen ernsthaft in Frage, weshalb es unter dem Gesichtspunkt der Verkehrssicherheit grundsätzlich nicht zu verantworten ist, ihr den Führerausweis bis zum Vorliegen des Untersuchungsergebnisses zu belassen. Dies muss offenkundig umsomehr gelten, wenn bereits eine verkehrsmedizinische Untersuchung durchgeführt wurde mit dem Ergebnis, die Fahreignung sei nicht mehr gegeben. Ob diese Untersuchung einer näheren Prüfung - ein Zweitgutachten wurde offenbar bereits in Auftrag gegeben - standhält oder nicht, ist Gegenstand des Hauptverfahrens.</w:t>
      </w:r>
    </w:p>
    <w:p>
      <w:r>
        <w:rPr>
          <w:b/>
        </w:rPr>
        <w:t>E. 3</w:t>
      </w:r>
    </w:p>
    <w:p>
      <w:r>
        <w:t>Die Beschwerde ist offensichtlich unbegründet. Sie ist abzuweisen, soweit darauf einzutreten ist.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