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1C_346/2011 vom 1. Februar 2012</w:t>
      </w:r>
    </w:p>
    <w:p>
      <w:r>
        <w:t>Bundesgericht, 2012-02-01, DE</w:t>
      </w:r>
    </w:p>
    <w:p>
      <w:r>
        <w:rPr>
          <w:b/>
        </w:rPr>
        <w:t xml:space="preserve">Quelle: </w:t>
      </w:r>
      <w:r>
        <w:t>https://mcp.opencaselaw.ch/entscheid/bger_1C_346_2011</w:t>
      </w:r>
    </w:p>
    <w:p>
      <w:r>
        <w:t>FR: TF 1C_346/2011 du 1 février 2012</w:t>
      </w:r>
    </w:p>
    <w:p>
      <w:r>
        <w:t>IT: TF 1C_346/2011 del 1 febbraio 2012</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auf diesem Gebiet keinen Ausschlussgrund ( Art. 83 BGG ). Angefochten ist ein Entscheid einer letzten kantonalen Instanz, welcher das Verfahren abschliesst ( Art. 86 Abs. 1 lit. d, Art. 90 BGG ).</w:t>
      </w:r>
    </w:p>
    <w:p>
      <w:r>
        <w:rPr>
          <w:b/>
        </w:rPr>
        <w:t>E. 1.2</w:t>
      </w:r>
    </w:p>
    <w:p>
      <w:r>
        <w:t>Das Verwaltungsgericht hat die Legitimation der Beschwerdeführerin verneint und insofern die materiellen Rügen der Beschwerdeführerin nicht geprüft. Ungeachtet ihrer Legitimation in der Sache selbst ist die Beschwerdeführerin im bundesgerichtlichen Verfahren zur Rüge wegen Verletzung von Verfahrensvorschriften, deren Missachtung eine formelle Rechtsverweigerung darstellt, berechtigt ( Art. 89 Abs. 1 BGG , vgl. BGE 129 II 297 E. 2.3 S. 301; 127 II 161 E. 3b S. 167). Auf die rechtzeitig erhobene Beschwerde ist daher grundsätzlich einzutreten.</w:t>
      </w:r>
    </w:p>
    <w:p>
      <w:r>
        <w:rPr>
          <w:b/>
        </w:rPr>
        <w:t>E. 2</w:t>
      </w:r>
    </w:p>
    <w:p>
      <w:r>
        <w:t>Unbestritten ist, dass die räumliche Distanz zwischen den betroffenen Grundstücken rund 90 m beträgt. Die knappe Sichtverbindung erachtet das Verwaltungsgericht aber als nicht genügend, um die Legitimation der Beschwerdeführerin zu bejahen. Auf abstrakte Distanzwerte komme es nach bundesgerichtlicher Rechtsprechung nicht an, zumal die Liegenschaften nicht nur durch die Kantonsstrasse getrennt würden, sondern deutlich versetzt lägen. Weiter begründet es seinen abweisenden Entscheid sinngemäss damit, dass die Kantonsstrasse bereits heute stark befahren sei, sodass sich die voraussichtlichen Auswirkungen von den bereits bestehenden Immissionen kaum deutlich unterscheiden liessen. Es sei nur von einer mutmasslichen Verkehrszunahme von höchstens 8.7 % auszugehen.</w:t>
      </w:r>
    </w:p>
    <w:p>
      <w:r>
        <w:rPr>
          <w:b/>
        </w:rPr>
        <w:t>E. 2.1</w:t>
      </w:r>
    </w:p>
    <w:p>
      <w:r>
        <w:t>Gemäss Art. 33 Abs. 3 lit. a RPG gewährleistet das kantonale Recht gegen Nutzungspläne und raumplanerische Verfügungen (z.B. Baubewilligungen gemäss Art. 22 RPG ) die Legitimation mindestens im gleichen Umfang wie für die Beschwerde in öffentlich-rechtlichen Angelegenheiten an das Bundesgericht. 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BGE 136 II 281 E. 2 S. 283 f.; Urteil 1C_379/2008 des Bundesgerichts vom 12. Januar 2009 E. 3.2 mit Hinweisen). Zur Beurteilung, ob das Verwaltungsgericht die Beschwerdeführerin vom Rechtsmittel ausschliessen durfte, ist im vorliegenden Fall die Beschwerdeberechtigung nach den Grundsätzen von Art. 89 Abs. 1 BGG , welche mit denjenigen des bisherigen Art. 103 lit. a OG übereinstimmen, zu prüfen. Ist die Beschwerdeführerin befugt, gegen einen Sachentscheid über das umstrittene Vorhaben beim Bundesgericht Beschwerde zu führen, so müssen die Vorinstanzen auf ihr Rechtsmittel eintreten, soweit die übrigen formellen Voraussetzungen erfüllt sind.</w:t>
      </w:r>
    </w:p>
    <w:p>
      <w:r>
        <w:rPr>
          <w:b/>
        </w:rPr>
        <w:t>E. 2.2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die Beschwerdeführerin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w:t>
      </w:r>
    </w:p>
    <w:p>
      <w:r>
        <w:rPr>
          <w:b/>
        </w:rPr>
        <w:t>E. 2.3</w:t>
      </w:r>
    </w:p>
    <w:p>
      <w:r>
        <w:t>Will ein Nachbar eine baurechtliche 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Bauvorhaben, wobei es nicht auf abstrakt bestimmte Distanzwerte ankommt (vgl. BGE 136 II 281 E. 2.3.1 S. 285; Urteile des Bundesgerichts 1C_56/2011 vom 15. Juni 2011 E. 2.3; 1C_133/2008 vom 6. Juni 2008 E. 2.4 mit Hinweisen). In der bundesgerichtlichen Rechtsprechung wurde die Legitimation des Nachbarn im Rahmen der Verwaltungsgerichtsbeschwerde bis zu einem Abstand von ca. 100 m regelmässig bejaht ( BGE 121 II 171 E. 2b und c S. 174 f.; Urteile 1P.237/2001 des Bundesgerichts vom 12. Juli 2001 E. 2c/bb; 1A.179/1996 vom 8. April 1997, publ. in: Pra 87/1998 Nr. 5 S. 27 ff. E. 3a). Es handelt sich bei dieser Abstandsangabe allerdings nicht um einen verbindlichen absoluten Wert. Die Legitimation ergibt sich nicht allein aus der räumlichen Nähe, sondern aus der daraus herrührenden besonderen Betroffenheit. Das Bundesgericht prüft die Legitimationsvoraussetzungen in einer Gesamtwürdigung anhand der im konkreten Fall vorliegenden tatsächlichen Verhältnisse.</w:t>
      </w:r>
    </w:p>
    <w:p>
      <w:r>
        <w:rPr>
          <w:b/>
        </w:rPr>
        <w:t>E. 2.4</w:t>
      </w:r>
    </w:p>
    <w:p>
      <w:r>
        <w:t>So wird das Beschwerderecht in der Regel anerkannt, wenn der Bau oder Betrieb einer projektierten Anlage mit Sicherheit oder grosser Wahrscheinlichkeit zu Immissionen führt und der Beschwerdeführer durch diese - seien es Lärm-, Staub-, Erschütterungs-, Licht- oder andere Einwirkungen - betroffen wird ( BGE 136 II 281 E. 2.3.1 S. 285). Sind solche Beeinträchtigungen zu erwarten, ändert auch der Umstand, dass eine grosse Anzahl von Personen betroffen ist, nichts an der Beschwerdebefugnis. Entsprechend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 BGE 133 II 181 E. 3.2.2 mit Hinweisen). In dicht besiedelten Gebieten kann somit grundsätzlich sehr vielen Personen die Beschwerdelegitimation zukommen, ohne dass von einer unzulässigen Popularbeschwerde gesprochen werden müsste ( BGE 121 II 171 E. 2b S. 174; 121 II 176 E. 2b S. 178; 120 Ib 378 E. 4d S. 388; 110 Ib 99 E. 1c S. 102; 136 II 281 E. 2.3.1 S. 285; Urteil des Bundesgerichts 1A.98/1994 vom 28. März 1995 E. 2b, in: ZBl 96/1995 S. 528 f.). Nur wenn eine summarische Prüfung ergibt, dass solches nicht zu befürchten ist, kann sich die Frage stellen, ob auf die Beschwerde überhaupt einzutreten sei. Andernfalls bleibt die Frage nach der Zulässigkeit der behaupteten Lärmeinwirkung Gegenstand der materiellen Prüfung (Urteil 1A.148/2005 des Bundesgerichts vom 20. Dezember 2005 E. 3.3 mit Hinweis auf BGE 121 II 176 E. 3a S. 180 und das Urteil 1A.2/1996 des Bundesgerichts vom 7. August 1998 E. 1b/cc).</w:t>
      </w:r>
    </w:p>
    <w:p>
      <w:r>
        <w:rPr>
          <w:b/>
        </w:rPr>
        <w:t>E. 2.5</w:t>
      </w:r>
    </w:p>
    <w:p>
      <w:r>
        <w:t>Dem Verwaltungsgericht ist darin zuzustimmen, dass abstrakte Distanzwerte nicht allein entscheidend sind. Das gilt insbesondere, wenn die Entfernung mehr als 100 m beträgt. Diesfalls bedarf die besondere Betroffenheit der näheren Erörterung. Vorliegend ist aber bereits das Kriterium der räumlichen Nähe gegeben, wird doch der genannte Rahmen mit den 90 m Entfernung nicht ausgeschöpft. Auch die Praxis, wonach die Bejahung der Legitimation bei einer Verkehrszunahme von 10% als recht- und zweckmässig bezeichnet wurde ( BGE 136 II 281 E. 2.3.2 S. 286 f mit Hinweis auf das Urteil des Bundesgerichts 1A.148/2005 vom 20. Dezember 2005 E. 3.5 f., in: ZBl 107/2006 S. 609; URP 2006 S. 144) hat in erster Linie Fälle im Auge, bei denen allein die zu erwartende Verkehrszunahme - ohne zusätzliche räumliche Nähe zur Bauparzelle - das erforderliche Berührtsein zur Folge hat. Angesichts des Umstands, dass die Liegenschaften der Beschwerdeführerin und der Beschwerdegegnerin im vorliegenden Fall weniger als 100 m auseinander liegen, und dass sie, wiewohl versetzt, nur durch die Kantonsstrasse getrennt werden, die beiden Liegenschaften als Erschliessung dient, muss für die Legitimation der Beschwerdeführerin genügen, dass nach den Feststellungen der Vorinstanz mit einer Verkehrszunahme von höchstens (aber immerhin) 8.7 % zu rechnen ist. Wie ausgeführt, handelt es sich bei den erwähnten 10 % nicht um einen absoluten Wert. Das Bundesgericht hatte im damaligen Fall 1A.148/2005 vom 20. Dezember 2005 lediglich zu überprüfen, ob die vom kantonalen Verwaltungsgericht angewandte Regel vor dem Bundesrecht standhält. Wenn im Rahmen der Gesamtwürdigung verschiedene Kriterien wie kurze Distanz und beträchtliche Lärmzunahme kummulativ zum Tragen kommen, darf die Legitimation für ein Grossvorhaben an einer gemeinsamen, vielbefahrenen Erschliessungsanlage nicht abgesprochen werden.</w:t>
      </w:r>
    </w:p>
    <w:p>
      <w:r>
        <w:rPr>
          <w:b/>
        </w:rPr>
        <w:t>E. 2.6</w:t>
      </w:r>
    </w:p>
    <w:p>
      <w:r>
        <w:t>Demzufolge ist die Beschwerde gutzuheissen und das angefochtene Urteil des Verwaltungsgerichts aufzuheben. Die Sache ist an die Vorinstanz zur neuen Beurteilung zurückzuweisen. Bei diesem Ausgang des Verfahrens hat die private Beschwerdegegnerin die Gerichtskosten zu tragen ( Art. 66 Abs. 1 BGG ). Sie hat die Beschwerdeführerin zudem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