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1C_345/2023 vom 11. Juli 2023</w:t>
      </w:r>
    </w:p>
    <w:p>
      <w:r>
        <w:t>Bundesgericht, 2023-07-11, DE</w:t>
      </w:r>
    </w:p>
    <w:p>
      <w:r>
        <w:rPr>
          <w:b/>
        </w:rPr>
        <w:t xml:space="preserve">Quelle: </w:t>
      </w:r>
      <w:r>
        <w:t>https://mcp.opencaselaw.ch/entscheid/bger_1C_345_2023</w:t>
      </w:r>
    </w:p>
    <w:p>
      <w:r>
        <w:t>FR: TF 1C_345/2023 du 11 juillet 2023</w:t>
      </w:r>
    </w:p>
    <w:p>
      <w:r>
        <w:t>IT: TF 1C_345/2023 del 11 luglio 2023</w:t>
      </w:r>
    </w:p>
    <w:p>
      <w:pPr>
        <w:pStyle w:val="Heading2"/>
      </w:pPr>
      <w:r>
        <w:t>Erwägungen</w:t>
      </w:r>
    </w:p>
    <w:p>
      <w:r>
        <w:rPr>
          <w:b/>
        </w:rPr>
        <w:t>E. 1</w:t>
      </w:r>
    </w:p>
    <w:p>
      <w:r>
        <w:t>A.________ erhob gegen die Verfügung des Strassenverkehrsamts des Kantons Luzern vom 10. Mai 2023 in Sachen vorsorglicher Führerausweisentzug Verwaltungsgerichtsbeschwerde und ersuchte in der Folge, nach gerichtlicher Aufforderung zur Leistung eines Kostenvorschusses, um unentgeltliche Rechtspflege. Mit Verfügung vom 28. Juni 2023 wies das Kantonsgericht Luzern das Gesuch um unentgeltliche Rechtspflege und Rechtsverbeiständung ab. Angesichts einer summarischen Prüfung erweise sich die Verwaltungsgerichtsbeschwerde als aussichtslos, weshalb das Gesuch um unentgeltliche Rechtspflege sowohl mit Bezug auf die Befreiung von der Kosten- und Vorschusspflicht als auch bezüglich der Zuweisung eines unentgeltlichen Rechtsbeistandes abzuweisen sei.</w:t>
      </w:r>
    </w:p>
    <w:p>
      <w:r>
        <w:rPr>
          <w:b/>
        </w:rPr>
        <w:t>E. 2</w:t>
      </w:r>
    </w:p>
    <w:p>
      <w:r>
        <w:t>A.________ führt mit Eingabe vom 10. Juli 2023 Beschwerde in öffentlich-rechtlichen Angelegenheiten gegen die Verfügung des Kantonsgerichts Luzern.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mit der Begründung des Kantonsgerichts, die zur Abweisung des Gesuch um unentgeltliche Rechtspflege und Rechtsverbeiständung führte, nicht auseinander. Er vermag daher nicht aufzuzeigen, inwiefern die Begründung des Kantonsgerichts bzw. dessen Verfügung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Ausnahmsweise kann davon abgesehen werden, für das bundesgerichtliche Verfahren Kosten zu erheben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