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1C_345/2020 vom 24. Juni 2020</w:t>
      </w:r>
    </w:p>
    <w:p>
      <w:r>
        <w:t>Bundesgericht, 2020-06-24, DE</w:t>
      </w:r>
    </w:p>
    <w:p>
      <w:r>
        <w:rPr>
          <w:b/>
        </w:rPr>
        <w:t xml:space="preserve">Quelle: </w:t>
      </w:r>
      <w:r>
        <w:t>https://mcp.opencaselaw.ch/entscheid/bger_1C_345_2020</w:t>
      </w:r>
    </w:p>
    <w:p>
      <w:r>
        <w:t>FR: TF 1C_345/2020 du 24 juin 2020</w:t>
      </w:r>
    </w:p>
    <w:p>
      <w:r>
        <w:t>IT: TF 1C_345/2020 del 24 giugno 2020</w:t>
      </w:r>
    </w:p>
    <w:p>
      <w:pPr>
        <w:pStyle w:val="Heading2"/>
      </w:pPr>
      <w:r>
        <w:t>Erwägungen</w:t>
      </w:r>
    </w:p>
    <w:p>
      <w:r>
        <w:rPr>
          <w:b/>
        </w:rPr>
        <w:t>E. 1.1</w:t>
      </w:r>
    </w:p>
    <w:p>
      <w:r>
        <w:t>Gemäss Art. 71 BGG i.V.m. Art. 6 Abs. 1 BZP (SR 273) kann der Richter aus Gründen der Zweckmässigkeit das Verfahren aussetzen, insbesondere wenn das Urteil von der Entscheidung in einem anderen Rechtsstreit beeinflusst werden kann. Vorliegend würde die beantragte Sistierung dem im Rechtshilfeverfahren geltenden Gebot der raschen Erledigung ( Art. 17a IRSG [SR 351.1]) zuwiderlaufen. Sie drängt sich auch mit Blick auf den Verfahrensausgang nicht auf (vgl. dazu Urteil 1C_339/2011 vom 18. August 2011 E. 3). Das Gesuch ist deshalb abzuweisen.</w:t>
      </w:r>
    </w:p>
    <w:p>
      <w:r>
        <w:rPr>
          <w:b/>
        </w:rPr>
        <w:t>E. 1.2</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1.3</w:t>
      </w:r>
    </w:p>
    <w:p>
      <w:r>
        <w:t>Zwar geht es hier um die Übermittlung von Informationen aus dem Geheimbereich und damit um ein Sachgebiet, bei dem die Beschwerde nach Art. 84 Abs. 1 BGG insoweit möglich ist. Es handelt sich jedoch um keinen besonders bedeutenden Fall. Dabei ist zu berücksichtigen, dass der Streitgegenstand auf die Frage beschränkt ist, ob das Bundesstrafgericht zu Recht einen Nichteintretensentscheid fällte ( BGE 135 II 38 E. 1.2 S. 41).</w:t>
      </w:r>
    </w:p>
    <w:p>
      <w:r>
        <w:t>Das Bundesstrafgericht hat die bundesgerichtliche Praxis zur Beschwerdelegitimation korrekt dargelegt. Diese richtet sich nach Art. 17a des Bundesgesetzes vom 3. Oktober 1975 zum Staatsvertrag mit den Vereinigten Staaten von Amerika über gegenseitige Rechtshilfe in Strafsachen (SR 351.93). Die Bestimmung entspricht Art. 80h lit. b IRSG , der seinerseits in Art. 9a lit. a IRSV (SR 351.11) konkretisiert wird. Gemäss der bundesgerichtlichen Praxis zu diesen Rechtsnormen ist der bloss wirtschaftlich an einem Bankkonto, Banksafe oder Wertschriftendepot Berechtigte im Gegensatz zum Inhaber grundsätzlich nicht legitimiert, Rechtshilfemassnahmen anzufechten, welche die Bankverbindung betreffen. Eine Ausnahme wird zugelassen, falls die einzige Kontoinhaberin eine juristische Person war, die aufgelöst worden ist, und zudem keine Anhaltspunkte dafür bestehen, dass die Liquidation nur vorgeschoben wird bzw. rechtsmissbräuchlich erfolgte ( BGE 139 II 404 E. 2.1.1 S. 411 f.; 137 IV 134 E. 5.2.1 S. 137 f.; je mit Hinweisen). Der wirtschaftlich Berechtigte muss in diesem Fall beweisen, dass ihm der Liquidationserlös zugeflossen ist. Eine Überweisungsanzeige genügt dafür nicht (zum Ganzen: Urteil 1C_181/2020 vom 17. April 2020 E. 1.2 mit Hinweisen).</w:t>
      </w:r>
    </w:p>
    <w:p>
      <w:r>
        <w:t>Das Bundesstrafgericht hat festgehalten, dass der Beschwerdeführer derartige Umstände nicht dargelegt habe. Der Beschwerdeführer macht in seiner Beschwerde ans Bundesgericht nichts geltend, was zu einem anderen Schluss führen würde. Seine Kritik, das Bundesstrafgericht habe die "H.________ BV LLC" mit der "H.________ B.V." verwechselt, spielt in dieser Hinsicht keine Rolle ( Art. 97 Abs. 1 BGG ).</w:t>
      </w:r>
    </w:p>
    <w:p>
      <w:r>
        <w:t>Rechtliche Grundsatzfragen stellen sich nicht. Auch sonst ist der Fall nicht von besonderer Bedeutung.</w:t>
      </w:r>
    </w:p>
    <w:p>
      <w:r>
        <w:rPr>
          <w:b/>
        </w:rPr>
        <w:t>E. 2</w:t>
      </w:r>
    </w:p>
    <w:p>
      <w:r>
        <w:t>Auf die Beschwerde ist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