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1C_345/2010 vom 14. Januar 2011</w:t>
      </w:r>
    </w:p>
    <w:p>
      <w:r>
        <w:t>Bundesgericht, 2011-01-14, DE</w:t>
      </w:r>
    </w:p>
    <w:p>
      <w:r>
        <w:rPr>
          <w:b/>
        </w:rPr>
        <w:t xml:space="preserve">Quelle: </w:t>
      </w:r>
      <w:r>
        <w:t>https://mcp.opencaselaw.ch/entscheid/bger_1C_345_2010</w:t>
      </w:r>
    </w:p>
    <w:p>
      <w:r>
        <w:t>FR: TF 1C_345/2010 du 14 janvier 2011</w:t>
      </w:r>
    </w:p>
    <w:p>
      <w:r>
        <w:t>IT: TF 1C_345/2010 del 14 gennaio 2011</w:t>
      </w:r>
    </w:p>
    <w:p>
      <w:pPr>
        <w:pStyle w:val="Heading2"/>
      </w:pPr>
      <w:r>
        <w:t>Erwägungen</w:t>
      </w:r>
    </w:p>
    <w:p>
      <w:r>
        <w:rPr>
          <w:b/>
        </w:rPr>
        <w:t>E. 1.1</w:t>
      </w:r>
    </w:p>
    <w:p>
      <w:r>
        <w:t>Der angefochtene Entscheid betrifft eine Ausnahmebewilligung im Sinne von Art. 24 RPG für eine Antennenanlage ausserhalb der Bauzone. Er unterliegt der Beschwerde in öffentlich-rechtlichen Angelegenheiten ( Art. 82 lit. a BGG ). Die Beschwerdeführer sind Eigentümer bzw. Mieter von Liegenschaften, welche sich innerhalb des praxisgemäss ( BGE 128 II 168 ) berechneten Einspracheradius befinden. Sie sind als Adressaten des angefochtenen Entscheids vom umstrittenen Vorhaben besonders berührt und haben ein schutzwürdiges Interesse an der Aufhebung oder Änderung des Urteils des Kantonsgerichts ( Art. 89 Abs. 1 BGG , BGE 133 II 249 E. 1.3 S. 252 f.).</w:t>
      </w:r>
    </w:p>
    <w:p>
      <w:r>
        <w:rPr>
          <w:b/>
        </w:rPr>
        <w:t>E. 1.2</w:t>
      </w:r>
    </w:p>
    <w:p>
      <w:r>
        <w:t>Mit Eingabe vom 22. September 2010 teilen die Beschwerdeführer dem Bundesgericht mit, die Swisscom verfüge nicht über die für den Betrieb der Anlage erforderlichen Durchleitungsrechte. Mit diesem Vorbringen wird eine neue Tatsache behauptet. Solche neue Vorbringen sind nach Art. 99 Abs. 1 BGG nur zulässig, soweit der Entscheid der Vorinstanz dazu Anlass gibt. Diese Voraussetzung ist hier nicht erfüllt, weshalb auf das neue Vorbringen nicht weiter einzugehen ist. Im Übrigen legen die Beschwerdeführer nicht konkret dar, inwiefern die umstrittene Anlage auf die erwähnten Durchleitungsrechte angewiesen ist und welchem Zweck diese dienen sollen. Damit genügt die Eingabe vom 22. September 2010 auch den Anforderungen an die Beschwerdebegründung im Sinne von Art. 42 Abs. 2 BGG nicht.</w:t>
      </w:r>
    </w:p>
    <w:p>
      <w:r>
        <w:rPr>
          <w:b/>
        </w:rPr>
        <w:t>E. 1.3</w:t>
      </w:r>
    </w:p>
    <w:p>
      <w:r>
        <w:t>Im Übrigen sind die Sachurteilsvoraussetzungen erfüllt. Auf die Beschwerde ist unter dem Vorbehalt hinreichend begründeter Rügen ( Art. 42 Abs. 2 BGG ) einzutreten.</w:t>
      </w:r>
    </w:p>
    <w:p>
      <w:r>
        <w:rPr>
          <w:b/>
        </w:rPr>
        <w:t>E. 2</w:t>
      </w:r>
    </w:p>
    <w:p>
      <w:r>
        <w:t>Die Beschwerdeführer beanstanden, das Kantonsgericht habe die Standortgebundenheit der umstrittenen Anlage nicht oder nur ungenügend geklärt, es habe sich auf Parteibehauptungen statt auf Expertenmeinungen gestützt und den Beschwerdeführern das rechtliche Gehör weitgehend verweigert.</w:t>
      </w:r>
    </w:p>
    <w:p>
      <w:r>
        <w:rPr>
          <w:b/>
        </w:rPr>
        <w:t>E. 2.1</w:t>
      </w:r>
    </w:p>
    <w:p>
      <w:r>
        <w:t>Nach Art. 24 RPG können nicht zonenkonforme Bauten und Anlagen und deren Zweckänderungen ausserhalb der Bauzonen bewilligt werden, wenn ihr Zweck einen Standort ausserhalb der Bauzonen erfordert (lit. a) und keine überwiegenden Interessen entgegenstehen (lit. b). Das Kantonsgericht hat die umstrittene Antenne unter Hinweis auf die Rechtsprechung des Bundesgerichts zu den Mobilfunkantennen als standortgebunden im Sinne von Art. 24 lit. a RPG bezeichnet. 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409 E. 4.2 S. 417; je mit Hinweisen).</w:t>
      </w:r>
    </w:p>
    <w:p>
      <w:r>
        <w:rPr>
          <w:b/>
        </w:rPr>
        <w:t>E. 2.2</w:t>
      </w:r>
    </w:p>
    <w:p>
      <w:r>
        <w:t>Das Kantonsgericht überprüfte als Alternativen zur umstrittenen Antenne verschiedene Standorte, welche von der Beschwerdegegnerin aus verschiedenen Gründen nicht weiter verfolgt wurden. Zu den möglichen Standorten "oberhalb Lax", "oberhalb Bellwald" und "Martina" nimmt die Vorinstanz eingehend Stellung. Sie legt dar, dass mit dem umstrittenen Standort "FIES" in Fieschertal fast das ganze Einzugsgebiet Fieschertal flächendeckend mit einem guten Signal versorgt werden könne, während bei den anderen Standorten Versorgungslücken drohten, welche nur mit weiteren zusätzlichen Anlagen zu schliessen seien. Bei diesen Aussagen stützt sich das Kantonsgericht nicht nur auf die Angaben der Swisscom, sondern auch auf die Ergebnisse der Prüfung durch die zuständigen kantonalen Fachbehörden. Weiter hat es sich mit den von den Beschwerdeführern als unlesbar kritisierten Abdeckungskarten auseinandergesetzt und die Versorgung aufgrund dieser Unterlagen beurteilt. Diese in den Akten liegenden Karten sind entgegen der Behauptung der Beschwerdeführer hinreichend lesbar, sodass sie als Grundlage der vom Kantonsgericht vorgenommenen Beurteilung dienen können. Der in diesem Zusammenhang erhobene Vorwurf der Gehörsverweigerung geht fehl. Die Vorinstanz hat die zur Verfügung stehenden Alternativen umfassend geprüft und ist zutreffend zum Schluss gelangt, dass die bei den anderen Standorten drohenden Versorgungslücken mit dem hier umstrittenen Standort weitestgehend vermieden werden können. Der Kritik der Beschwerdeführer an diesem Ergebnis kann nicht gefolgt werden. Die Erteilung einer Ausnahmebewilligung im Sinne von Art. 24 RPG ist mit dem Bundesrecht vereinbar.</w:t>
      </w:r>
    </w:p>
    <w:p>
      <w:r>
        <w:rPr>
          <w:b/>
        </w:rPr>
        <w:t>E. 3</w:t>
      </w:r>
    </w:p>
    <w:p>
      <w:r>
        <w:t>Es ergibt sich, dass die Beschwerde abzuweisen ist, soweit darauf eingetreten werden kann. Bei diesem Ausgang sind die Gerichtskosten den unterliegenden Beschwerdeführern aufzuerlegen ( Art. 66 Abs. 1 BGG ). Der Swisscom, die nicht anwaltlich vertreten ist, ist keine Parteientschädigung zuzusprechen (vgl. in BGE 133 II 321 nicht publizierte E. 5; Urteile des Bundesgerichts 1A.86/2003 vom 15. Dezember 2003 E. 6.2; 1A.92/2003 vom 15. Dezember 2003 E. 7.2; 1A.18/2004 vom 15. März 2005 E. 7.2). Den beteiligten Behörden, die in ihrem amtlichen Wirkungskreis obsiegen, ist ebenfalls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