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1C_345/2007 vom 24. Januar 2008</w:t>
      </w:r>
    </w:p>
    <w:p>
      <w:r>
        <w:t>Bundesgericht, 2008-01-24, FR</w:t>
      </w:r>
    </w:p>
    <w:p>
      <w:r>
        <w:rPr>
          <w:b/>
        </w:rPr>
        <w:t xml:space="preserve">Quelle: </w:t>
      </w:r>
      <w:r>
        <w:t>https://mcp.opencaselaw.ch/entscheid/bger_1C_345_2007</w:t>
      </w:r>
    </w:p>
    <w:p>
      <w:r>
        <w:t>FR: TF 1C_345/2007 du 24 janvier 2008</w:t>
      </w:r>
    </w:p>
    <w:p>
      <w:r>
        <w:t>IT: TF 1C_345/2007 del 24 gennaio 2008</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 voie de recours en matière de droit public, au sens des art. 82 ss LTF est ouverte contre les décisions prises en dernière instance cantonale au sujet de mesures administratives de retrait de permis de conduire.</w:t>
      </w:r>
    </w:p>
    <w:p>
      <w:r>
        <w:t>Les recourants sont particulièrement atteints par la décision attaquée - qui confirme le retrait de leur permis de conduire - et ils ont un intérêt digne de protection à son annulation; ils ont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3</w:t>
      </w:r>
    </w:p>
    <w:p>
      <w:r>
        <w:t>Dans un premier grief, les recourants se plaignent d'une appréciation arbitraire des preuves. Ils estiment qu'il ne peut être que compris du rapport de police qu'ils faisaient partie des trois premiers motards interpellés, alors que le gendarme C.________ avait confirmé en audience que tel n'était pas le cas. Par ailleurs, les policiers auraient eux-mêmes admis que les motards qui n'avaient pas pu être interpellés en même temps que le premier groupe avaient pris des chemins différents et qu'ils n'avaient pas pu être interceptés. Les recourants soulignent qu'ils ont toujours soutenu qu'ils venaient d'une autre direction que les motards poursuivis.</w:t>
      </w:r>
    </w:p>
    <w:p>
      <w:r>
        <w:rPr>
          <w:b/>
        </w:rPr>
        <w:t>E. 3.1</w:t>
      </w:r>
    </w:p>
    <w:p>
      <w:r>
        <w:t>Selon la jurisprudence, l'appréciation des preuves est arbitraire ( art. 9 Cst. ; pour une définition de l'arbitraire, cf. ATF 132 I 13 consid. 5.1 p. 17 et les références)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ne suffit pas qu'une interprétation différente des preuves et des faits qui en découlent paraisse également concevable pour que le Tribunal fédéral substitue sa propre appréciation des preuves à celle effectuée par l'autorité intimée. En serait-il autrement, que le principe de la libre appréciation des preuves par le juge du fond serait violé ( ATF 120 Ia 31 consid. 2d p. 37 s.).</w:t>
      </w:r>
    </w:p>
    <w:p>
      <w:r>
        <w:rPr>
          <w:b/>
        </w:rPr>
        <w:t>E. 3.2</w:t>
      </w:r>
    </w:p>
    <w:p>
      <w:r>
        <w:t>Il est vrai que le rapport de police ne mentionne pas que trois motards ont été dans un premier temps interceptés au giratoire route de Lancy/route des Rupettes. Il est également constant que C.________ n'a pas signalé que d'autres motards avaient pris la fuite dans des directions différentes.</w:t>
      </w:r>
    </w:p>
    <w:p>
      <w:r>
        <w:t>Il n'en demeure pas moins qu'il ressort tant du rapport de police que des déclarations de C.________ que les recourants ont été suivis depuis le giratoire route de Chancy/route de Laconnex jusqu'au giratoire route de Chancy/route des Rupettes, tronçon sur lequel le contrôle de vitesse a été effectué. Il est également établi que les recourants ont ralenti à la hauteur de ce dernier giratoire et qu'ils ont obliqué à gauche pour être enfin rattrapés à la route des Lolliets.</w:t>
      </w:r>
    </w:p>
    <w:p>
      <w:r>
        <w:t>Qu'il y ait des incohérences sur les autres points n'est en l'espèce pas déterminant. Il ne faut à cet égard pas perdre de vue que C.________ a été interrogé plus de trois ans après la survenance des faits. En outre, contrairement à ce qu'affirment les recourants, ils n'ont pas toujours prétendu venir d'une direction contraire, puisque dans leur recours au Tribunal administratif, ils ont admis avoir circulé à l'heure des faits sur la route de Chancy, puis avoir bifurqué sur Laconnex. On ne peut donc pas reprocher au Tribunal administratif d'avoir retenu cet élément. Dans ces circonstances, il n'apparaît pas insoutenable de considérer, à l'instar de la Cour cantonale, que si les recourants n'avaient réellement pas commis d'excès de vitesse, ils auraient nécessairement été dépassés par le véhicule de police, étant donné qu'ils avaient indiqué que les autres groupes de motards roulaient derrière eux.</w:t>
      </w:r>
    </w:p>
    <w:p>
      <w:r>
        <w:t>Il résulte de ce qui précède que l'on ne saurait tenir l'appréciation des preuves effectuée par les autorités cantonales pour arbitraire. Le grief doit dès lors être rejeté.</w:t>
      </w:r>
    </w:p>
    <w:p>
      <w:r>
        <w:rPr>
          <w:b/>
        </w:rPr>
        <w:t>E. 4</w:t>
      </w:r>
    </w:p>
    <w:p>
      <w:r>
        <w:t>Dans un deuxième moyen, les recourants se plaignent d'une violation des prescriptions en matière de contrôle de vitesse. Ils font valoir que, contrairement à ce que prévoient les directives de l'Office fédéral des routes, la distance entre le véhicule des policiers et les motos n'aurait pas été constante. Même si le juge n'était pas lié par les directives, les conditions dans lesquelles le contrôle de vitesse s'était déroulé devraient avoir une incidence sur l'appréciation du rapport de police par le juge.</w:t>
      </w:r>
    </w:p>
    <w:p>
      <w:r>
        <w:rPr>
          <w:b/>
        </w:rPr>
        <w:t>E. 4.1</w:t>
      </w:r>
    </w:p>
    <w:p>
      <w:r>
        <w:t>Les instructions techniques concernant les contrôles de vitesse dans la circulation routière éditées par le Département fédéral de l'environnement, des transports, de l'énergie et de la communication (ci-après: DETEC), constituent de simples recommandations, qui n'ont pas force de loi et ne lient ni le juge, ni les autorités administratives ou de police elles-mêmes ( ATF 123 II 106 consid. 2e p. 113; 121 IV 64 consid. 3 p. 66; 102 IV 271 ). Le juge pénal n'est donc en principe pas restreint dans son pouvoir de libre appréciation des preuves et peut, sur la base d'une appréciation non arbitraire de l'ensemble des éléments à sa disposition, parvenir à la conclusion que le prévenu a circulé à la vitesse indiquée dans le rapport alors même qu'elle n'aurait pas été mesurée selon les recommandations émises dans ces instructions.</w:t>
      </w:r>
    </w:p>
    <w:p>
      <w:r>
        <w:rPr>
          <w:b/>
        </w:rPr>
        <w:t>E. 4.2</w:t>
      </w:r>
    </w:p>
    <w:p>
      <w:r>
        <w:t>Le chiffre 7.5 des instructions du DETEC concerne les contrôles de vitesse au moyen d'un véhicule-suiveur muni d'un compteur de vitesse sans calculatrice. Il y est indiqué que le tronçon sur lequel le contrôle est effectué doit avoir une longueur d'au moins 500 mètres (ch. 7.5.1). Il est également précisé que la distance entre le véhicule de police et le véhicule suivi doit rester égale autant que possible, compte tenu de leur vitesse effective et qu'elle ne devrait pas dépasser la moitié de la valeur indiquée par le compteur de vitesse. A la fin de la mesure, la distance jusqu'au véhicule contrôlé doit être identique ou plus grande qu'au début du contrôle de vitesse (ch. 7.5.2).</w:t>
      </w:r>
    </w:p>
    <w:p>
      <w:r>
        <w:rPr>
          <w:b/>
        </w:rPr>
        <w:t>E. 4.3</w:t>
      </w:r>
    </w:p>
    <w:p>
      <w:r>
        <w:t>Le Tribunal administratif a souligné qu'en raison de la vitesse respective du véhicule de police et des motos suivies, la distance séparant le premier des secondes s'était accrue, de sorte qu'à la fin du contrôle, elle était plus importante qu'au début. Suivre le raisonnement des recourants reviendrait selon la Cour cantonale à accorder l'impunité aux conducteurs roulant à une vitesse suffisamment élevée pour distancer le véhicule suiveur, ce qui n'était assurément pas l'objectif recherché par le législateur.</w:t>
      </w:r>
    </w:p>
    <w:p>
      <w:r>
        <w:rPr>
          <w:b/>
        </w:rPr>
        <w:t>E. 4.4</w:t>
      </w:r>
    </w:p>
    <w:p>
      <w:r>
        <w:t>En l'espèce, le rapport de police indique que, compte tenu de l'accélération des motards et des capacités du véhicule de police, les intéressés n'avaient pas pu être suivis à une vitesse constante. Alors que le compteur du véhicule de police indiquait plus de 140 km/h, la distance augmentait de seconde en seconde. Le rapport mentionne en outre que les gendarmes ont circulé sur plus de 400 m à une vitesse de plus de 160 km/h, tandis que les motards continuaient de s'éloigner. C.________ a quant à lui affirmé qu'ils roulaient dans les 160 km/h, mais que le véhicule avait été stabilisé à la vitesse de 140 km/h sur la distance prescrite. L'écart ne cessait cependant de s'accroître, raison pour laquelle la sirène avait été enclenchée.</w:t>
      </w:r>
    </w:p>
    <w:p>
      <w:r>
        <w:t>Il existe manifestement une contradiction entre le rapport de police et les déclarations de C.________, encore qu'il ne soit pas certain que l'on doive comprendre du rapport que le fait que la distance n'ait pas été constante sur tout le trajet implique nécessairement qu'elle ne l'ait pas été uniquement sur la distance prescrite par les instructions du DETEC.</w:t>
      </w:r>
    </w:p>
    <w:p>
      <w:r>
        <w:t>Quoi qu'il en soit, on ne saurait reprocher à l'autorité cantonale d'avoir considéré que les principes essentiels des contrôles de vitesse avaient été respectés. En effet, les directives indiquent expressément que la distance doit rester égale "autant que possible". Or il s'agit en l'occurrence précisément d'un cas dans lequel cette exigence ne pouvait pas être pleinement respectée. Dans la mesure où, alors même que les gendarmes roulaient à 160 km/h sur un tronçon relativement long, la distance continuait de s'accroître, il n'apparaît pas insoutenable de retenir la vitesse la plus basse enregistrée, soit 140 km/h, comme base de calcul. La marge de sécurité de 10 %, appliquée conformément aux instructions du DETEC, tient au demeurant compte des variations dans la distance entre les véhicules que des différences de vitesse peuvent entraîner.</w:t>
      </w:r>
    </w:p>
    <w:p>
      <w:r>
        <w:t>Les objections des recourants sont de toute façon purement théoriques. Ils n'expliquent pas en quoi le calcul aurait été faussé par l'incapacité de la patrouille de maintenir une vitesse constante. Dans ces conditions, le grief doit être rejeté.</w:t>
      </w:r>
    </w:p>
    <w:p>
      <w:r>
        <w:rPr>
          <w:b/>
        </w:rPr>
        <w:t>E. 5</w:t>
      </w:r>
    </w:p>
    <w:p>
      <w:r>
        <w:t>Enfin, les recourants reprochent à l'autorité cantonale de ne pas avoir pris en considération le fait que quatre ans s'étaient écoulés depuis les faits litigieux.</w:t>
      </w:r>
    </w:p>
    <w:p>
      <w:r>
        <w:rPr>
          <w:b/>
        </w:rPr>
        <w:t>E. 5.1</w:t>
      </w:r>
    </w:p>
    <w:p>
      <w:r>
        <w:t>Selon la jurisprudence,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et, le cas échéant, renoncer à toute mesure ( ATF 127 II 297 consid. 3d p. 300; 120 Ib 504 consid. 4e p. 510).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 ATF 127 II 297 consid. 3d p. 300).</w:t>
      </w:r>
    </w:p>
    <w:p>
      <w:r>
        <w:rPr>
          <w:b/>
        </w:rPr>
        <w:t>E. 5.2</w:t>
      </w:r>
    </w:p>
    <w:p>
      <w:r>
        <w:t>En l'espèce, le Tribunal administratif a agi correctement en n'instruisant pas les recours interjetés contre les retraits infligés, avant que le jugement du Tribunal de police n'entre en force. Il a ainsi suivi un principe évoqué à réitérées reprises par le Tribunal fédéral, qui vise à assurer, en accord avec le principe de l'économie de procédure, une vérification des faits dans la meilleure considération possible des droits de la défense de l'intéressé ( ATF 115 Ib 159 p. 162). Rien n'indique que l'inexplicable retard (environ trois ans) avec lequel s'est conclu la procédure pénale soit imputable aux recourants. Il n'est par ailleurs pas contesté que ces derniers se sont bien comportés depuis les faits du 11 septembre 2003.</w:t>
      </w:r>
    </w:p>
    <w:p>
      <w:r>
        <w:t>En l'occurrence, le temps écoulé entre la commission de l'infraction et la décision administrative de dernière instance cantonale est de près de quatre ans. Cette durée est cependant inférieure à celles retenues dans la jurisprudence précitée. Il est vrai qu'une procédure d'un peu plus de quatre ans a déjà été reconnue comme trop longue par le Tribunal fédéral ( ATF 127 II 297 ; arrêt 6A.80/2004 du 31 janvier 2005), mais il s'agissait alors uniquement de contraventions. En revanche, une procédure de plus de cinq ans a été qualifiée de trop longue dans des cas ayant entraîné une condamnation pénale pour violation grave des règles de la circulation routière au sens de l' art. 90 al. 2 LCR ou pour conduite en état d'ébriété selon l' art. 91 al. 1 LCR , à une époque où ces délits se prescrivaient par cinq ans, voire sept ans et demi en cas d'interruption de la prescription ( ATF 122 II 180 consid. 5a p. 182; 120 Ib 504 ).</w:t>
      </w:r>
    </w:p>
    <w:p>
      <w:r>
        <w:t>Dans un arrêt récent (arrêt 6A.114/2006 du 27 janvier 2007), une durée de trois ans et sept mois n'a pas été considérée comme démesurée, s'agissant d'un excès de vitesse de 28 km/h sur l'autoroute.</w:t>
      </w:r>
    </w:p>
    <w:p>
      <w:r>
        <w:t>On ne saurait ainsi reprocher aux autorités cantonales de ne pas avoir renoncé à la mesure de retrait du permis de la recourante et d'avoir refusé d'en diminuer la durée s'agissant du recourant, ce d'autant plus que les retraits ont été limités à la durée légale minimale.</w:t>
      </w:r>
    </w:p>
    <w:p>
      <w:r>
        <w:rPr>
          <w:b/>
        </w:rPr>
        <w:t>E. 6</w:t>
      </w:r>
    </w:p>
    <w:p>
      <w:r>
        <w:t>Il s'ensuit que le recours doit être rejeté. Les recourants, qui succombent, doivent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