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1C_342/2023 vom 14. Juli 2023</w:t>
      </w:r>
    </w:p>
    <w:p>
      <w:r>
        <w:t>Bundesgericht, 2023-07-14, IT</w:t>
      </w:r>
    </w:p>
    <w:p>
      <w:r>
        <w:rPr>
          <w:b/>
        </w:rPr>
        <w:t xml:space="preserve">Quelle: </w:t>
      </w:r>
      <w:r>
        <w:t>https://mcp.opencaselaw.ch/entscheid/bger_1C_342_2023</w:t>
      </w:r>
    </w:p>
    <w:p>
      <w:r>
        <w:t>FR: TF 1C_342/2023 du 14 juillet 2023</w:t>
      </w:r>
    </w:p>
    <w:p>
      <w:r>
        <w:t>IT: TF 1C_342/2023 del 14 luglio 2023</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un sequestro e, inoltre, si tratti di un caso particolarmente importante ( art. 84 cpv. 1 LTF ). Si è segnatamente in presenza di un tale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in materia su ricorsi che non riguardano un caso particolarmente importante (cpv. 1); la decisione è motivata sommariamente e può rinviare in tutto o in parte alla decisione impugnata (cpv. 3).</w:t>
      </w:r>
    </w:p>
    <w:p>
      <w:r>
        <w:rPr>
          <w:b/>
        </w:rPr>
        <w:t>E. 1.3</w:t>
      </w:r>
    </w:p>
    <w:p>
      <w:r>
        <w:t>La richiesta, peraltro non sufficientemente motivata, di poter produrre, eccezionalmente, al più presto entro trenta giorni una memoria integrativa dev'essere respinta, non essendo adempiute le condizioni previste dall' art. 43 LTF . Come si vedrà, il ricorso è infatti inammissibile ( DTF 133 IV 271 consid. 2.1; FLORENCE AUBRY GIRARDIN, Commentaire de la LTF, 3a ed. 2022, n. 5, 8, 9 e 10 ad art. 43).</w:t>
      </w:r>
    </w:p>
    <w:p>
      <w:r>
        <w:rPr>
          <w:b/>
        </w:rPr>
        <w:t>E. 1.4</w:t>
      </w:r>
    </w:p>
    <w:p>
      <w:r>
        <w:t>L'atto di ricorso è redatto, legittimamente, in lingua tedesca ( art. 42 cpv. 1 LTF ). Non vi sono tuttavia motivi per scostarsi dalla regola secondo cui il procedimento si svolge di massima nella lingua della decisione impugnata, in concreto quella italiana ( art. 54 cpv. 1 LTF ).</w:t>
      </w:r>
    </w:p>
    <w:p>
      <w:r>
        <w:rPr>
          <w:b/>
        </w:rPr>
        <w:t>E. 2.1</w:t>
      </w:r>
    </w:p>
    <w:p>
      <w:r>
        <w:t>Riguardo ai requisiti di un caso particolarmente importante, il ricorrente asserisce che la rogatoria non si fonderebbe su una decisione giudiziaria, che la domanda sarebbe manifestamente contraddittoria poiché fondata su un esposto dei fatti insufficiente e che l'ordinata trasmissione concernerebbe documenti manifestamente irrilevanti, in particolare sotto l'aspetto temporale. Insiste sul fatto ch'egli non sarebbe coinvolto nei fatti oggetto dell'inchiesta penale estera, mentre riguardo a quelli indagati in Svizzera, i documenti litigiosi potrebbero interessare solo le autorità elvetiche; a un'utilizzazione degli stessi da parte dell'autorità estera osterebbe quindi il principio "ne bis in idem".</w:t>
      </w:r>
    </w:p>
    <w:p>
      <w:r>
        <w:rPr>
          <w:b/>
        </w:rPr>
        <w:t>E. 2.2</w:t>
      </w:r>
    </w:p>
    <w:p>
      <w:r>
        <w:t>Il ricorrente rimprovera alla CRP d'avere ammesso, in assenza di un'autorizzazione giudiziaria, in maniera "inaccurata" la competenza repressiva dello Stato richiedente. Al riguardo l'istanza precedente ha stabilito che non si è in presenza di un'incompetenza manifesta, della quale occorrerebbe dubitare. L'autorità estera ha precisato infatti che, nell'ambito dell'assistenza, una tale autorizzazione non sarebbe necessaria secondo il CPP ucraino. La conclusione della CRP è conforme alla giurisprudenza, motivo per cui la mancata concessione di un termine al ricorrente per produrre una perizia giuridica al riguardo non lede neppure il suo diritto d'essere sentito, considerato anche l'obbligo di celerità vigente nella materia in esame ( art. 17a AIMP ).</w:t>
      </w:r>
    </w:p>
    <w:p>
      <w:r>
        <w:t>Le generiche censure, appellatorie, rivolte all'esposto dei fatti, perché dallo stesso non risulterebbe un coinvolgimento del ricorrente nel procedimento ucraino, non dimostrano che si sarebbe in presenza di un caso particolarmente importante, visto che l'istanza precedente ha spiegato, e in maniera corretta, perché l'esposto adempie le condizioni richieste dalla giurisprudenza. Per quanto riguarda la trasmissione di documenti non espressamente indicati nella rogatoria, ma ritenuti utili dalla CRP, quest'ultima, motivando compiutamente la propria scelta di trasmettere l'integralità della documentazione bancaria, non si è scostata dalla costante giurisprudenza riguardo al principio dell'utilità potenziale. L'istanza precedente ha applicato l'invalsa prassi anche riguardo all'addotta estraneità del ricorrente ai fatti oggetto del procedimento penale ucraino, ritenendo, rettamente, ininfluente la sua asserita qualità di terzo non coinvolto. Infine, in questo stadio della procedura mal si comprende il richiamo al principio "ne bis in idem" in favore di terzi, già per il fatto che il ricorrente non asserisce d'essere perseguito personalmente per fatti identici in entrambi gli Stati. Nel caso in esame non si giustifica quindi un intervento del Tribunale federale.</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