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342/2022 vom 15. Juni 2022</w:t>
      </w:r>
    </w:p>
    <w:p>
      <w:r>
        <w:t>Bundesgericht, 2022-06-15, DE</w:t>
      </w:r>
    </w:p>
    <w:p>
      <w:r>
        <w:rPr>
          <w:b/>
        </w:rPr>
        <w:t xml:space="preserve">Quelle: </w:t>
      </w:r>
      <w:r>
        <w:t>https://mcp.opencaselaw.ch/entscheid/bger_1C_342_2022</w:t>
      </w:r>
    </w:p>
    <w:p>
      <w:r>
        <w:t>FR: TF 1C 342/2022 du 15 juin 2022</w:t>
      </w:r>
    </w:p>
    <w:p>
      <w:r>
        <w:t>IT: TF 1C 342/2022 del 15 giugno 2022</w:t>
      </w:r>
    </w:p>
    <w:p>
      <w:pPr>
        <w:pStyle w:val="Heading2"/>
      </w:pPr>
      <w:r>
        <w:t>Regeste</w:t>
      </w:r>
    </w:p>
    <w:p>
      <w:r>
        <w:t>Internationale Rechtshilfe in Strafsachen an Israel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um ein Sachgebiet, bei dem die Beschwerde nach Art. 84 Abs. 1 BGG insoweit möglich ist. Es handelt sich jedoch um keinen besonders bedeutenden Fall. Das Bundesstrafgericht hielt fest, die Beschwerdeführerin mache geltend, dass ihr B.________ am 2. Juni 2015 als Sicherheit für zwei Darlehen sämtliche Vermögenswerte des auf ihn lautenden Kontos und Depots bei ihr verpfändet habe. Mit der im Jahr 2011 rechtshilfeweise angeordneten Kontosperre sei ihm jedoch die freie Verfügungsmacht entzogen worden, was auch die Beschwerdeführerin gewusst habe. Von gutem Glauben könne deshalb keine Rede sein, weshalb sich die Beschwerdeführerin nicht auf Art. 74a Abs. 4 lit. c IRSG (SR 351.1) berufen könne. Die Beschwerdeführerin hält dem entgegen, dass die Gutgläubigkeit mit der Unkenntnis der Einziehungsgründe gleichzusetzen sei. Solche Einziehungsgründe gebe es hier nicht. Die vorinstanzliche Begründung überzeugt. Bei der Kontosperre handelt es sich um eine Sicherungsmassnahme im Rechtshilfeverfahren. Sie war der Beschwerdeführerin aufgrund der Anordnung durch die Bundesanwaltschaft bekannt. Aus diesem Grund konnte sie sich später an den Vermögenswerten nicht mehr gutgläubig im Sinne von Art. 74a Abs. 4 lit. c IRSG ein Pfandrecht einräumen lassen. Sie übersieht mit ihrem Einwand, Gutgläubigkeit bedeute Unkenntnis der Einziehungsgründe, dass im Rechtshilfeverfahren eine Prüfung der materiellen Rechtsvoraussetzungen des ausländischen Einziehungsurteils ausgeschlossen ist ( BGE 145 IV 99 E. 3.2 mit Hinweisen). Die Einziehungsgründe sind mit anderen Worten im Rechtshilfeverfahren nicht zu prüfen. Weitere Gründe, von einem besonders bedeutenden Fall auszugehen, sind nicht ersichtlich. Insbesondere ist der angefochtene Entscheid auch hinreichend begründet ( Art. 29 Abs. 2 BV ).</w:t>
      </w:r>
    </w:p>
    <w:p>
      <w:r>
        <w:rPr>
          <w:b/>
        </w:rPr>
        <w:t>E. 2</w:t>
      </w:r>
    </w:p>
    <w:p>
      <w:r>
        <w:t>Auf die Beschwerde ist somit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