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1C_342/2019 vom 26. Juni 2019</w:t>
      </w:r>
    </w:p>
    <w:p>
      <w:r>
        <w:t>Bundesgericht, 2019-06-26, DE</w:t>
      </w:r>
    </w:p>
    <w:p>
      <w:r>
        <w:rPr>
          <w:b/>
        </w:rPr>
        <w:t xml:space="preserve">Quelle: </w:t>
      </w:r>
      <w:r>
        <w:t>https://mcp.opencaselaw.ch/entscheid/bger_1C_342_2019</w:t>
      </w:r>
    </w:p>
    <w:p>
      <w:r>
        <w:t>FR: TF 1C_342/2019 du 26 juin 2019</w:t>
      </w:r>
    </w:p>
    <w:p>
      <w:r>
        <w:t>IT: TF 1C_342/2019 del 26 giugno 2019</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macht geltend, in Belgien in seiner Abwesenheit verurteilt worden zu sein. Das Bundesstrafgericht hielt dazu fest, den Auslieferungsunterlagen sei zu entnehmen, dass er an der Verhandlung vor dem erstinstanzlichen Gericht in Lüttich anwesend gewesen und zudem von einer von ihm gewählten Rechtsanwältin vertreten worden sei. Dem Urteil des Berufungsgerichts Lüttich sei zu entnehmen, dass er dagegen an der Berufungsverhandlung weder anwesend noch anwaltlich vertreten gewesen sei. Die belgischen Behörden hätten dazu ausgeführt, er werde nach einer allfälligen Auslieferung die Möglichkeit haben, eine Wiederaufnahme des Berufungsverfahrens zu verlangen. Das Bundesstrafgericht, dessen Ausführungen vom Beschwerdeführer zwar bestritten, aber nicht als aktenwidrig bezeichnet werden, schloss gestützt darauf, dass die minimalen Verteidigungsrechte insoweit gewahrt seien. Dies entspricht Art. 3 Abs. 1 des zweiten Zusatzprotokolls vom 17. März 1978 zum Europäischen Auslieferungsübereinkommen (SR 0.353.12). Ein besonders bedeutender Fall liegt in dieser Hinsicht nicht vor.</w:t>
      </w:r>
    </w:p>
    <w:p>
      <w:r>
        <w:t>Das Bundesstrafgericht hat sich zudem mit dem Anspruch auf Achtung des Privat- und Familienlebens auseinandergesetzt und dazu festgehalten, der Beschwerdeführer mache keine aussergewöhnlichen familiären Verhältnisse geltend, die einer Auslieferung ausnahmsweise entgegenstünden. In seiner Beschwerde ans Bundesgericht macht der Beschwerdeführer insoweit lediglich geltend, wenn er in Serbien wäre, könnte ihn seine in der Schweiz lebende Familie besuchen und mit ihm Zeit verbringen. Die Beschwerde ist in diesem Punkt unzureichend begründet ( Art. 42 Abs. 2 BGG ).</w:t>
      </w:r>
    </w:p>
    <w:p>
      <w:r>
        <w:t>Für das Bundesgericht besteht aus diesen Gründen kein Anlass, die Sache an die Hand zu nehmen.</w:t>
      </w:r>
    </w:p>
    <w:p>
      <w:r>
        <w:rPr>
          <w:b/>
        </w:rPr>
        <w:t>E. 2</w:t>
      </w:r>
    </w:p>
    <w:p>
      <w:r>
        <w:t>Auf die Beschwerde ist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