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342/2013 vom 23. Januar 2014</w:t>
      </w:r>
    </w:p>
    <w:p>
      <w:r>
        <w:t>Bundesgericht, 2014-01-23, FR</w:t>
      </w:r>
    </w:p>
    <w:p>
      <w:r>
        <w:rPr>
          <w:b/>
        </w:rPr>
        <w:t xml:space="preserve">Quelle: </w:t>
      </w:r>
      <w:r>
        <w:t>https://mcp.opencaselaw.ch/entscheid/bger_1C_342_2013</w:t>
      </w:r>
    </w:p>
    <w:p>
      <w:r>
        <w:t>FR: TF 1C 342/2013 du 23 janvier 2014</w:t>
      </w:r>
    </w:p>
    <w:p>
      <w:r>
        <w:t>IT: TF 1C 342/2013 del 23 gennaio 2014</w:t>
      </w:r>
    </w:p>
    <w:p>
      <w:pPr>
        <w:pStyle w:val="Heading2"/>
      </w:pPr>
      <w:r>
        <w:t>Regeste</w:t>
      </w:r>
    </w:p>
    <w:p>
      <w:r>
        <w:t>annulation de la naturalisation facilitée | Droit de cité et droit des étrangers</w:t>
      </w:r>
    </w:p>
    <w:p>
      <w:pPr>
        <w:pStyle w:val="Heading2"/>
      </w:pPr>
      <w:r>
        <w:t>Erwägungen</w:t>
      </w:r>
    </w:p>
    <w:p>
      <w:r>
        <w:rPr>
          <w:b/>
        </w:rPr>
        <w:t>E. 1.1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de recevabilité sont remplies, de sorte qu'il y a lieu d'entrer en matière.</w:t>
      </w:r>
    </w:p>
    <w:p>
      <w:r>
        <w:rPr>
          <w:b/>
        </w:rPr>
        <w:t>E. 1.2</w:t>
      </w:r>
    </w:p>
    <w:p>
      <w:r>
        <w:t>Saisi d'un recours en matière de droit public, le Tribunal fédéral examine librement la violation du droit fédéral (cf. art. 95 let. a et 106 al. 1 LTF ). En revanche, il n'apprécie la violation des droits fondamentaux que si ce grief a été invoqué et motivé conformément au principe d'allégation (cf. art. 106 al. 2 LTF ; ATF 134 I 83 consid. 3.2 p. 88 et les arrêts cités).</w:t>
      </w:r>
    </w:p>
    <w:p>
      <w:r>
        <w:rPr>
          <w:b/>
        </w:rPr>
        <w:t>E. 2</w:t>
      </w:r>
    </w:p>
    <w:p>
      <w:r>
        <w:t>Dans un grief formel qu'il convient d'examiner en premier lieu, le recourant se plaint d'une violation de son droit d'être entendu. Il reproche à l'ODM de n'avoir auditionné ni sa belle-fille ni son beau-père. Il lui fait également grief de ne pas avoir motivé sa décision à satisfaction de droit.</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En l'espèce, le recourant se contente d'affirmer que l'ODM n'a entendu ni sa belle-fille ni son beau-père. Dans son mémoire de recours, il n'indique toutefois pas qu'il a formellement requis l'audition de ces témoins ni en quoi l'autorité aurait arbitrairement apprécié la pertinence des moyens de preuve proposés. Sur ce point, le recours ne satisfait pas aux exigences minimales de motivation rappelées ci-dessus (cf. supra consid. 1.2). Il est au demeurant mal fondé. En premier lieu, le recourant n'a jamais formellement requis l'audition de ces personnes; il a indiqué leurs références à l'ODM qui les lui avaient demandées. Par ailleurs, comme l'a déjà expliqué le TAF, l'ODM pouvait, sans violer le droit fédéral, considérer que les faits de la cause étaient suffisamment établis par les pièces figurant au dossier, de sorte qu'il n'était pas indispensable de procéder à ces auditions. Le témoignage écrit du beau-père du recourant figure d'ailleurs au dossier. Il n'apparaît au demeurant pas qu'il ait formellement requis d'autres mesures d'instruction devant l'instance précédente. Dans ces circonstances, il ne saurait faire grief à celle-ci d'avoir violé son droit d'être entendu en refusant d'entendre des témoins dont il n'a pas demandé l'audition.</w:t>
      </w:r>
    </w:p>
    <w:p>
      <w:r>
        <w:rPr>
          <w:b/>
        </w:rPr>
        <w:t>E. 2.2</w:t>
      </w:r>
    </w:p>
    <w:p>
      <w:r>
        <w:t>La jurisprudence a déduit du droit d'être entendu l'obligation pour l'autorité de motiver sa décision, afin que l'intéressé puisse la comprendre, l'attaquer utilement s'il y a lieu et que l'autorité de recours puisse exercer son contrôle ( ATF 135 V 65 consid. 2.6 p. 73; 134 I 83 consid. 4.1 p. 88; 133 III 439 consid. 3.3 p. 445). Le recourant reproche à l'autorité précédente de ne pas avoir indiqué pourquoi il ne retenait pas ses propres explications. Dans sa décision, l'ODM a justifié de façon claire et précise sa décision. Le TAF a, quant à lui, largement expliqué, et de manière extrêmement détaillée, les raisons pour lesquelles la naturalisation devait être annulée. Il s'est déterminé longuement sur les allégations du recourant et a commenté les raisons pour lesquelles elles ne pouvaient être retenues. Sa décision échappe au grief de la violation du droit d'être entendu. Pour sa part, le recourant se contente d'alléguer un défaut de motivation sans dire en quoi l'autorité fédérale aurait failli à ses obligations; il ne satisfait donc pas aux exigences déduites de l' art. 106 al. 2 LTF et son recours est donc irrecevable.</w:t>
      </w:r>
    </w:p>
    <w:p>
      <w:r>
        <w:rPr>
          <w:b/>
        </w:rPr>
        <w:t>E. 2.3</w:t>
      </w:r>
    </w:p>
    <w:p>
      <w:r>
        <w:t>Le moyen tiré de la violation du droit d'être entendu doit ainsi être rejeté dans la mesure où il est recevable.</w:t>
      </w:r>
    </w:p>
    <w:p>
      <w:r>
        <w:rPr>
          <w:b/>
        </w:rPr>
        <w:t>E. 3</w:t>
      </w:r>
    </w:p>
    <w:p>
      <w:r>
        <w:t>Dans son écriture, le recourant se plaint notamment d'une constatation inexacte des faits pertinents.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rPr>
          <w:b/>
        </w:rPr>
        <w:t>E. 3.2</w:t>
      </w:r>
    </w:p>
    <w:p>
      <w:r>
        <w:t>Dans une grande partie de son écriture, le recourant présente son propre exposé des faits qui s'écarte partiellement de celui retenu par le TAF. Formulés sur un mode purement appellatoire, ces faits ne peuvent être pris en compte par le Tribunal fédéral. Il soutient également que le jugement ne dit pas que les appartements séparés des deux époux sont situés en face l'un de l'autre; or, le TAF le retient expressément dans sa décision. Il indique encore que l'autorité n'a pas mentionné qu'il avait été condamné par défaut, sans toutefois expliqué en quoi cette omission serait susceptible d'influer sur le sort de la cause. Pour le reste, le recourant ne critique pas l'établissement des faits mais plutôt leur appréciation juridique. Il s'agit dès lors qu'une question de droit qui sera examinée avec le fond. Le grief de constatation inexacte des faits doit donc être rejeté dans la mesure de sa recevabilité.</w:t>
      </w:r>
    </w:p>
    <w:p>
      <w:r>
        <w:rPr>
          <w:b/>
        </w:rPr>
        <w:t>E. 4</w:t>
      </w:r>
    </w:p>
    <w:p>
      <w:r>
        <w:t>Le recourant conteste avoir obtenu la naturalisation par des déclarations mensongères et reproche au TAF d'avoir abusé de son pouvoir d'appréciation dans l'examen des éléments fondant le retrait de la naturalisation et d'avoir rendu une décision contraire au droit fédéral, en particulier à l'art. 41 de la loi fédérale du 29 septembre 1952 sur l'acquisition et la perte de la nationalité suisse (LN; RS 141).</w:t>
      </w:r>
    </w:p>
    <w:p>
      <w:r>
        <w:rPr>
          <w:b/>
        </w:rPr>
        <w:t>E. 4.1</w:t>
      </w:r>
    </w:p>
    <w:p>
      <w:r>
        <w:t>Conformément à l' art. 41 al. 1 LN dans sa teneur jusqu'au 1 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4.1.1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1C_587/2013 du 29 août 2013 consid. 3.2.1 et les arrêts cités).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rPr>
          <w:b/>
        </w:rPr>
        <w:t>E. 4.1.2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références).</w:t>
      </w:r>
    </w:p>
    <w:p>
      <w:r>
        <w:rPr>
          <w:b/>
        </w:rPr>
        <w:t>E. 4.2</w:t>
      </w:r>
    </w:p>
    <w:p>
      <w:r>
        <w:t>En l'espèce, l'arrêt attaqué retient que les époux ont signé la déclaration commune attestant de la stabilité de leur union le 3 juin 2006. La naturalisation a été accordée au recourant le 6 juillet 2006. La séparation officielle des époux est intervenue le 13 avril 2007 et le 12 septembre 2007, ils déposaient une requête commune de divorce qui a été prononcé par jugement du 23 janvier 2008. Le 5 mars 2008, l'épouse actuelle du recourant a déposé une demande d'autorisation de séjour en vue de son mariage auprès de la représentation suisse à Pristina. Le 29 août 2008, A.________ a contracté mariage avec son épouse actuelle et celle-ci a donné naissance à un enfant commun le 1 er juin 2009. Le TAF a estimé que ces éléments et leur enchaînement chronologique particulièrement rapide étaient de nature à fonder la présomption que la stabilité requise du mariage n'existait déjà plus au moment de la déclaration commune faite le 3 juin 2006 et, à tout le moins, lors du prononcé de la naturalisation facilitée le 6 juillet 2006. Pour l'instance précédente, cette présomption est renforcée par le remariage du recourant le 29 août 2008 et la naissance d'un enfant commun le 1 er juin 2009. Le TAF a ajouté qu'il était concevable que le souhait du recourant était de s'installer à demeure en Suisse et d'y travailler régulièrement, raison pour laquelle il avait épousé sa première épouse - de 12 ans son aînée et mère d'un enfant issu d'une union précédente - moins d'un mois après la décision de non-entrée en matière sur sa troisième demande d'asile. Selon cette autorité, cette appréciation est corroborée par le fait qu'une fois le divorce prononcé, le recourant a rapidement fait venir en Suisse une compatriote, de huit ans sa cadette, qu'il a épousée en secondes noces et avec laquelle il a conçu un enfant. A cela s'ajoute le fait que les époux ont loué deux appartements dès le 1 er septembre 2004. Même si, comme le relève le TAF, la location du second appartement serait justifiée par la taille du premier, il n'en reste pas moins que la persistance durant deux ans et demi de deux logements séparés ôte toute cohérence aux explications du recourant. Le fait que ces deux appartements se situent l'un en face de l'autre et puissent être atteints par le garage n'y change rien. En revanche, le recourant passe sous silence la dissimulation de la date de la location du second appartement qui n'a pas été communiquée aux autorités. L'ex-épouse a en effet soutenu qu'elle avait saisi l'occasion de louer un appartement juste en face, en avril 2007; quant au recourant, il a spécifié dans sa lettre adressée à l'ODM le 30 mars 2009, que les époux A.________ et B.________ avaient pris un logement séparé au printemps 2007 alors qu'il s'agit en réalité du 1 er septembre 2004. Enfin, il ressort des diverses déclarations des parties que A.________ s'est rendu chaque année au Kosovo, à Noël et durant l'été. Son ex-épouse ne l'y a jamais accompagné, prétextant des difficultés financières et la situation sécuritaire du pays. Si, comme l'affirme le recourant, la relation des ex-époux a duré plus de 11 ans, il est pour le moins étonnant que l'ex-épouse n'ait jamais éprouvé l'envie de connaître la famille de son conjoint et son environnement socioculturel et que l'ex-époux n'ait pas trouvé utile de faire connaître son pays d'origine à son ex-épouse. En l'occurrence, la présomption de fait peut effectivement se fonder sur un enchaînement relativement rapide des événements, en particulier la séparation des époux et le dépôt de la requête commune de divorce, le remariage du recourant et la naissance d'un enfant commun. La décision entreprise ne viole donc pas le droit fédéral. 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4.3</w:t>
      </w:r>
    </w:p>
    <w:p>
      <w:r>
        <w:t>Pour expliquer une soudaine détérioration du lien conjugal, le recourant invoque de manière appellatoire les épisodes dépressifs de son ex-épouse ainsi que ses problèmes familiaux et professionnels. Il ne critique pas l'appréciation du TAF qui a expliqué de manière convaincante qu'il n'était pas vraisemblable que les problèmes rencontrés par son ex-épouse aient pu influencer leur vie de couple au point de les conduire au divorce. Au contraire, le recourant a lui-même fait valoir que, durant l'année précédant la séparation, ses difficultés conjugales s'étaient aggravées notamment en raison des problèmes dépressifs de son épouse. Ces problèmes conjugaux étaient donc antérieurs à la déclaration commune du 3 juin 2006 et ne sauraient constituer un événement extraordinaire entraînant la détérioration rapide du lien conjugal. Les déclarations de l'ex-épouse le confirment également puisqu'elle a prétendu ne pas être en mesure de déterminer une date précise à partir de laquelle la vie commune avait cessé. A cet égard, comme l'a relevé le TAF, il n'est pas pertinent de savoir à qui incombe la responsabilité de la désunion. En l'occurrence, les causes de la séparation importent peu dès lors qu'elles sont antérieures à l'octroi de la naturalisation facilitée et que le recourant avait donc connaissance de la gravité des difficultés conjugales au moment de la signature de la déclaration commune. Il ne peut donc prétendre qu'elles pourraient constituer l'événement extraordinaire propre à expliquer la rupture du lien conjugal. 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que les problèmes rencontrés par le couple étaient mineurs et que le recourant n'avait pu en mesurer l'importance. Les éléments qu'il a avancés ne sont pas de nature à renverser la présomption établie. Il en découle que les conditions d'application de l' art. 41 LN sont réunies et que le TAF n'a pas violé le droit fédéral en confirmant l'annulation de la naturalisation facilitée qui avait été octroyée au recourant.</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