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1C_33/2012 vom 28. Juni 2012</w:t>
      </w:r>
    </w:p>
    <w:p>
      <w:r>
        <w:t>Bundesgericht, 2012-06-28, FR</w:t>
      </w:r>
    </w:p>
    <w:p>
      <w:r>
        <w:rPr>
          <w:b/>
        </w:rPr>
        <w:t xml:space="preserve">Quelle: </w:t>
      </w:r>
      <w:r>
        <w:t>https://mcp.opencaselaw.ch/entscheid/bger_1C_33_2012</w:t>
      </w:r>
    </w:p>
    <w:p>
      <w:r>
        <w:t>FR: TF 1C_33/2012 du 28 juin 2012</w:t>
      </w:r>
    </w:p>
    <w:p>
      <w:r>
        <w:t>IT: TF 1C_33/2012 del 28 giugno 2012</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l'arrêt attaqué qui a un intérêt digne de protection à l'annulation ou à la modification de celui-ci ( art. 89 al. 1 LTF ), le présent recours est recevable.</w:t>
      </w:r>
    </w:p>
    <w:p>
      <w:r>
        <w:rPr>
          <w:b/>
        </w:rPr>
        <w:t>E. 2</w:t>
      </w:r>
    </w:p>
    <w:p>
      <w:r>
        <w:t>Le recourant invoque une violation de son droit d'être entendu ( art. 29 al. 2 Cst. ). Il reproche à l'autorité administrative d'avoir refusé d'administrer ses offres de preuve tendant à établir l'existence, respectivement l'inexistence du dépassement de la vitesse autorisée de 21 km/h.</w:t>
      </w:r>
    </w:p>
    <w:p>
      <w:r>
        <w:rPr>
          <w:b/>
        </w:rPr>
        <w:t>E. 2.1</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w:t>
      </w:r>
    </w:p>
    <w:p>
      <w:r>
        <w:t>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123 II 97 consid. 3c/aa p. 104; 105 Ib 18 consid. 1a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121 II 214 consid. 3a p. 217 s.).</w:t>
      </w:r>
    </w:p>
    <w:p>
      <w:r>
        <w:rPr>
          <w:b/>
        </w:rPr>
        <w:t>E. 2.2</w:t>
      </w:r>
    </w:p>
    <w:p>
      <w:r>
        <w:t>En l'occurrence, le recourant n'a pas contesté le prononcé préfectoral du 22 juin 2011. Celui-ci est entièrement fondé sur le rapport de dénonciation de la police cantonale qui constate que le recourant a dépassé, à l'intérieur d'une localité, la vitesse limitée à 50 km/h de 21 km/h (marge de sécurité déduite). Se basant sur le même rapport de dénonciation, la CMA a, par courrier du 17 juin 2011, indiqué à l'intéressé que les faits dénoncés pouvaient conduire au prononcé d'une mesure administrative. Dès lors, conformément à la jurisprudence précitée, si l'intéressé désapprouvait les faits établis par l'autorité pénale, il lui appartenait de faire valoir ses moyens dans le cadre de la procédure pénale, fût-elle sommaire. C'est dans ce cadre uniquement qu'il pouvait remettre en cause les constatations de la police cantonale, notamment en requérant l'administration de moyens de preuve tendant à vérifier la valeur probante de la mesure de sa vitesse. Le prononcé pénal n'ayant pas été contesté, il n'était plus possible de revenir sur les faits constatés dans le rapport de police.</w:t>
      </w:r>
    </w:p>
    <w:p>
      <w:r>
        <w:rPr>
          <w:b/>
        </w:rPr>
        <w:t>E. 2.3</w:t>
      </w:r>
    </w:p>
    <w:p>
      <w:r>
        <w:t>Dans ces circonstances, on ne saurait reprocher à l'autorité administrative de s'être considérée comme étant liée par l'état de fait à la base du jugement pénal retenant un excès de vitesse de 21 km/h en localité, marge de sécurité déduite. Son refus d'instruire ne viole pas le droit d'être entendu du recourant. Le grief doit dès lors être écarté. Pour les mêmes motifs, les critiques du recourant concernant une violation des prescriptions en matière de contrôle des radars deviennent sans objet.</w:t>
      </w:r>
    </w:p>
    <w:p>
      <w:r>
        <w:rPr>
          <w:b/>
        </w:rPr>
        <w:t>E. 3</w:t>
      </w:r>
    </w:p>
    <w:p>
      <w:r>
        <w:t>Il s'ensuit que le recours doit est rejeté, aux frais du recourant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