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1C_339/2011 vom 18. August 2011</w:t>
      </w:r>
    </w:p>
    <w:p>
      <w:r>
        <w:t>Bundesgericht, 2011-08-18, DE</w:t>
      </w:r>
    </w:p>
    <w:p>
      <w:r>
        <w:rPr>
          <w:b/>
        </w:rPr>
        <w:t xml:space="preserve">Quelle: </w:t>
      </w:r>
      <w:r>
        <w:t>https://mcp.opencaselaw.ch/entscheid/bger_1C_339_2011</w:t>
      </w:r>
    </w:p>
    <w:p>
      <w:r>
        <w:t>FR: TF 1C_339/2011 du 18 août 2011</w:t>
      </w:r>
    </w:p>
    <w:p>
      <w:r>
        <w:t>IT: TF 1C_339/2011 del 18 agosto 2011</w:t>
      </w:r>
    </w:p>
    <w:p>
      <w:pPr>
        <w:pStyle w:val="Heading2"/>
      </w:pPr>
      <w:r>
        <w:t>Erwägungen</w:t>
      </w:r>
    </w:p>
    <w:p>
      <w:r>
        <w:rPr>
          <w:b/>
        </w:rPr>
        <w:t>E. 1</w:t>
      </w:r>
    </w:p>
    <w:p>
      <w:r>
        <w:t>Gemäss Art. 100 Abs. 2 lit. b BGG beträgt die Beschwerdefrist bei Entscheiden auf dem Gebiet der internationalen Rechtshilfe in Strafsachen zehn Tage. Die Vorschrift über den Stillstand der Fristen gilt insoweit nicht ( Art. 46 Abs. 2 BGG ).</w:t>
      </w:r>
    </w:p>
    <w:p>
      <w:r>
        <w:t>Nach den eigenen Angaben der Beschwerdeführerin (Beschwerde S. 3 I/1) ging der angefochtene Entscheid bei ihrem Anwalt am 3. August 2011 ein. Der letzte Tag der Frist fiel damit auf den 13. August 2011. Da es sich dabei um einen Samstag handelte, lief die Beschwerdefrist am Montag, 15. August 2011, ab ( Art. 45 Abs. 1 BGG ).</w:t>
      </w:r>
    </w:p>
    <w:p>
      <w:r>
        <w:t>Die Beschwerdeführerin hat die Beschwerde am 16. August 2011 der Post übergeben. Die Beschwerde ist damit verspätet. Schon deshalb kann darauf nicht eingetreten werden.</w:t>
      </w:r>
    </w:p>
    <w:p>
      <w:r>
        <w:rPr>
          <w:b/>
        </w:rPr>
        <w:t>E. 2</w:t>
      </w:r>
    </w:p>
    <w:p>
      <w:r>
        <w:t>Auf die Beschwerde könnte auch aus folgendem Grund nicht eingetreten werden.</w:t>
      </w:r>
    </w:p>
    <w:p>
      <w:r>
        <w:t>Gemäss Art. 84 Abs. 1 BGG ist gegen einen Entscheid auf dem Gebiet der internationalen Rechtshilfe in Strafsachen die Beschwerde nur zulässig, wenn er unter anderem eine Auslieferung betrifft und es sich um einen besonders bedeutenden Fall handelt. Ist eine Beschwerde nur unter der Voraussetzung zulässig, dass ein besonders bedeutender Fall nach Artikel 84 vorliegt, so ist auszuführen, warum diese Voraussetzung erfüllt sein soll ( Art. 42 Abs. 2 Satz 2 BGG ).</w:t>
      </w:r>
    </w:p>
    <w:p>
      <w:r>
        <w:t>Die Beschwerdeführerin äussert sich mit keinem Wort dazu, weshalb hier ein besonders bedeutender Fall gegeben sein soll. Dies ist auch nicht ohne Weiteres ersichtlich. Die Beschwerde genügt damit den Begründungsanforderungen von Art. 42 Abs. 2 Satz 2 BGG nicht.</w:t>
      </w:r>
    </w:p>
    <w:p>
      <w:r>
        <w:rPr>
          <w:b/>
        </w:rPr>
        <w:t>E. 3</w:t>
      </w:r>
    </w:p>
    <w:p>
      <w:r>
        <w:t>Ist die Beschwerde nach dem Gesagten offensichtlich unzulässig, fällt die Sistierung des bundesgerichtlichen Verfahrens von vornherein ausser Betracht.</w:t>
      </w:r>
    </w:p>
    <w:p>
      <w:r>
        <w:t>Zum vorliegenden Entscheid ist gemäss Art. 108 BGG der Einzelrichter befugt.</w:t>
      </w:r>
    </w:p>
    <w:p>
      <w:r>
        <w:rPr>
          <w:b/>
        </w:rPr>
        <w:t>E. 4</w:t>
      </w:r>
    </w:p>
    <w:p>
      <w:r>
        <w:t>Da die Beschwerde aussichtslos war, kann das Gesuch um unentgeltliche Rechtspflege und Verbeiständung nach Art. 64 BGG nicht bewilligt werden. In Anbetracht der angespannten finanziellen Verhältnisse der Beschwerdeführerin (angefochtener Entscheid S. 13 E. 82)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