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338/2022 vom 17. Juni 2022</w:t>
      </w:r>
    </w:p>
    <w:p>
      <w:r>
        <w:t>Bundesgericht, 2022-06-17, DE</w:t>
      </w:r>
    </w:p>
    <w:p>
      <w:r>
        <w:rPr>
          <w:b/>
        </w:rPr>
        <w:t xml:space="preserve">Quelle: </w:t>
      </w:r>
      <w:r>
        <w:t>https://mcp.opencaselaw.ch/entscheid/bger_1C_338_2022</w:t>
      </w:r>
    </w:p>
    <w:p>
      <w:r>
        <w:t>FR: TF 1C 338/2022 du 17 juin 2022</w:t>
      </w:r>
    </w:p>
    <w:p>
      <w:r>
        <w:t>IT: TF 1C 338/2022 del 17 giugno 2022</w:t>
      </w:r>
    </w:p>
    <w:p>
      <w:pPr>
        <w:pStyle w:val="Heading2"/>
      </w:pPr>
      <w:r>
        <w:t>Regeste</w:t>
      </w:r>
    </w:p>
    <w:p>
      <w:r>
        <w:t>Internationale Rechtshilfe in Strafsachen an die Ukraine; Herausgabe von Beweismitteln | Rechtshilfe und Auslieferung</w:t>
      </w:r>
    </w:p>
    <w:p>
      <w:pPr>
        <w:pStyle w:val="Heading2"/>
      </w:pPr>
      <w:r>
        <w:t>Erwägungen</w:t>
      </w:r>
    </w:p>
    <w:p>
      <w:r>
        <w:rPr>
          <w:b/>
        </w:rPr>
        <w:t>E. 1.1</w:t>
      </w:r>
    </w:p>
    <w:p>
      <w:r>
        <w:t>Gemäss Art. 84 BGG ist gegen einen Entscheid auf dem Gebiet der internationalen Rechtshilfe in Strafsachen die Beschwerde nur zulässig, wenn er unter anderem eine Übermittlung von Informationen aus dem Geheimbereich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 BGE 145 IV 99 E. 1 mit Hinweisen). Art. 84 BGG bezweckt die wirksame Begrenzung des Zugangs zum Bundesgericht im Bereich der internationalen Rechtshilfe in Strafsachen. Ein besonders bedeutender Fall ist deshalb mit Zurückhaltung anzunehmen. Dem Bundesgericht steht insofern ein weiter Ermessensspielraum zu (zum Ganzen: BGE 145 IV 99 E. 1.2 mit Hinweisen). Gemäss Art. 42 Abs. 2 BGG ist in der Begründung der Rechtsschrift in gedrängter Form darzulegen, inwiefern der angefochtene Akt Recht verletzt. Ist eine Beschwerde nur unter der Voraussetzung zulässig, dass ein besonders bedeutender Fall nach Artikel 84 vorliegt, so ist auszuführen, warum diese Voraussetzung erfüllt ist ( BGE 145 IV 99 E. 1.5 mit Hinweisen). Erachtet das Bundesgericht eine Beschwerde auf dem Gebiet der internationalen Rechtshilfe in Strafsachen als unzulässig, so fällt es gemäss Art. 107 Abs. 3 BGG - abgesehen von einem hier nicht gegebenen Ausnahmefall - den Nichteintretensentscheid innert 15 Tagen seit Abschluss eines allfälligen Schriftenwechsels. 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1.2</w:t>
      </w:r>
    </w:p>
    <w:p>
      <w:r>
        <w:t>Zwar geht es hier um die Übermittlung von Informationen aus dem Geheimbereich und damit um ein Sachgebiet, bei dem die Beschwerde nach Art. 84 Abs. 1 BGG insoweit möglich ist. Der Fall ist jedoch nicht besonders bedeutend. Bei der Beschwerdeführerin 1 handelt es sich um eine juristische Person, die gemäss dem angefochtenen Entscheid Gesamtrechtsnachfolgerin der Kontoinhaberin ist (durch Absorptionsfusion nach zypriotischem Recht). Sie behauptet, im ukrainischen Strafverfahren zwar nicht formell, jedoch faktisch angeklagt zu sein, was sie jedoch nicht hinreichend belegt ( Art. 42 Abs. 2 BGG ). Sie beruft sich zudem auf eine Verletzung von Art. 2 IRSG (SR 351.1) und weist auf die Ausrufung des Kriegsrechts durch den ukrainischen Präsidenten hin. Allerdings erschöpft sich ihr Vorbringen in einer allgemeinen Kritik an den ukrainischen Behörden und dem pauschalen, unbelegten Hinweis, der Schutz der Menschenrechte und die Geltung der ukrainischen Verfassung seien aufgehoben. Einen Bezug zum hängigen Strafverfahren bzw. zu ihr selbst stellt sie nicht her und es ist deshalb nicht erkennbar, inwiefern sie von einer Verletzung von Art. 2 IRSG betroffen sein könnte. Auch in dieser Hinsicht ist die Beschwerde unzureichend begründet ( Art. 42 Abs. 2 BGG ). Darüber hinaus ist eine juristische Person nach der bundesgerichtlichen Rechtsprechung ohnehin nicht befugt, sich auf diese Bestimmung zu berufen ( BGE 130 II 217 E. 8.2; Urteile 1C_640/2019 vom 13. Dezember 2019 E. 3.2; 1C_327/2018 vom 6. Juli 2018 E. 1.2; 1C_376/2016 vom 5. Oktober 2016 E. 2.2; je mit Hinweisen). Allein der Umstand, dass es sich bei der Beschwerdeführerin 2 um ein Parlamentsmitglied handelt, verleiht dem Fall ebenfalls noch keine besondere Bedeutung im Sinne des Gesetzes (Urteil 1C_286/2017 vom 28. Juni 2017 E. 1.2 mit Hinweis). Darüber hinaus ist die Behauptung unzutreffend, sie sei formelle Eigentümerin der Kontoinhaberin und mit dieser faktisch identisch, weshalb ihr gestützt auf die Durchgriffstheorie Parteistellung zukomme. Wer sich als natürliche Person einer juristischen Person bedient, muss sich deren Selbständigkeit entgegen halten lassen; ein Durchgriff kommt insofern nicht in Frage ( BGE 136 I 49 E. 5.4). Es ist deshalb nicht zu beanstanden, dass das Bundesstrafgericht auf die Beschwerde der Beschwerdeführerin 2 nicht eintrat. Andere Gründe, um von einem besonders bedeutenden Fall auszugehen, sind nicht erkennbar.</w:t>
      </w:r>
    </w:p>
    <w:p>
      <w:r>
        <w:rPr>
          <w:b/>
        </w:rPr>
        <w:t>E. 2</w:t>
      </w:r>
    </w:p>
    <w:p>
      <w:r>
        <w:t>Auf die Beschwerde ist deshalb nicht einzutreten. Damit wird das Gesuch um aufschiebende Wirkung gegenstandslos. Der Beschwerde kommt im vorliegenden Fall ohnehin schon von Gesetzes wegen aufschiebende Wirkung zu ( Art. 103 Abs. 2 lit. c BGG ). Bei diesem Ausgang des Verfahrens tragen die Beschwerdeführerinnen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