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337/2022 vom 13. Dezember 2022</w:t>
      </w:r>
    </w:p>
    <w:p>
      <w:r>
        <w:t>Bundesgericht, 2022-12-13, DE</w:t>
      </w:r>
    </w:p>
    <w:p>
      <w:r>
        <w:rPr>
          <w:b/>
        </w:rPr>
        <w:t xml:space="preserve">Quelle: </w:t>
      </w:r>
      <w:r>
        <w:t>https://mcp.opencaselaw.ch/entscheid/bger_1C_337_2022</w:t>
      </w:r>
    </w:p>
    <w:p>
      <w:r>
        <w:t>FR: TF 1C 337/2022 du 13 décembre 2022</w:t>
      </w:r>
    </w:p>
    <w:p>
      <w:r>
        <w:t>IT: TF 1C 337/2022 del 13 dicembre 2022</w:t>
      </w:r>
    </w:p>
    <w:p>
      <w:pPr>
        <w:pStyle w:val="Heading2"/>
      </w:pPr>
      <w:r>
        <w:t>Regeste</w:t>
      </w:r>
    </w:p>
    <w:p>
      <w:r>
        <w:t>Ermächtigung zur Strafverfolgung | Strafprozess</w:t>
      </w:r>
    </w:p>
    <w:p>
      <w:pPr>
        <w:pStyle w:val="Heading2"/>
      </w:pPr>
      <w:r>
        <w:t>Erwägungen</w:t>
      </w:r>
    </w:p>
    <w:p>
      <w:r>
        <w:rPr>
          <w:b/>
        </w:rPr>
        <w:t>E. 1.1</w:t>
      </w:r>
    </w:p>
    <w:p>
      <w:r>
        <w:t>Nach Art. 7 Abs. 2 lit. b StPO in Verbindung mit § 148 des Zürcher Gesetzes über die Gerichts- und Behördenorganisation im Zivil- und Strafprozess vom 10. Mai 2010 (GOG [LS 211.1]) entscheidet das Obergericht über die Eröffnung oder Nichtanhandnahme einer Strafuntersuchung gegen Beamtinnen und Beamte im Sinn von Art. 110 Abs. 3 StGB wegen im Amt begangener Vergehen oder Verbrechen. Mit dem angefochtenen Entscheid hat es das Obergericht abgelehnt, die Staatsanwaltschaft zur Strafverfolgung der angezeigten Personen zu ermächtigen. Damit fehlt es an einer Prozessvoraussetzung für die Durchführung des Strafverfahrens, womit das Verfahren abgeschlossen ist. Die angezeigten Mitarbeitenden der kommunalen Schulbehörden gehören nicht den obersten kantonalen Vollziehungs- und Gerichtsbehörden an, weshalb der Ausschlussgrund von Art. 83 lit. e BGG nicht greift (vgl. BGE 137 IV 269 E. 1.3.2). Angefochten ist demnach ein Endentscheid ( Art. 90 BGG ) einer letzten kantonalen Instanz ( Art. 86 Abs. 1 lit. d BGG ), wogegen nach der Rechtsprechung die Beschwerde in öffentlich-rechtlichen Angelegenheiten zulässig ist ( BGE 137 IV 269 E. 1.3.1).</w:t>
      </w:r>
    </w:p>
    <w:p>
      <w:r>
        <w:rPr>
          <w:b/>
        </w:rPr>
        <w:t>E. 1.2</w:t>
      </w:r>
    </w:p>
    <w:p>
      <w:r>
        <w:t>Der Beschwerdeführer, der am kantonalen Verfahren als Anzeigeerstatter und Partei beteiligt war, ist als potentieller Geschädigter, der allenfalls Zivilansprüche geltend machen könnte (Art. 115, Art. 118 und Art. 122 Abs. 1 i.V.m. Art. 104 Abs. 1 lit. b StPO ), zur Beschwerdeerhebung befugt ( Art. 89 Abs. 1 BGG ).</w:t>
      </w:r>
    </w:p>
    <w:p>
      <w:r>
        <w:rPr>
          <w:b/>
        </w:rPr>
        <w:t>E. 2</w:t>
      </w:r>
    </w:p>
    <w:p>
      <w:r>
        <w:t>Mit der Beschwerde an das Bundesgericht kann insbesondere, von hier nicht interessierenden weiteren Möglichkeiten abgesehen, die Verletzung von Bundesrecht gerügt werden ( Art. 95 lit. a BGG ). Das Bundesgericht wendet das Recht grundsätzlich von Amtes wegen an ( Art. 106 Abs. 1 BGG ). Gemäss Art. 42 Abs. 2 BGG ist jedoch in der Begründung in gedrängter Form darzulegen, inwiefern der angefochtene Akt Recht verletzt. Der Beschwerdeführer muss sich wenigstens kurz mit den Erwägungen des angefochtenen Entscheids auseinandersetzen. Eine reine Wiederholung des Parteistandpunkts ohne Bezug zum angefochtenen Entscheid genügt nicht. Die vorliegende Beschwerdeschrift erfüllt diese Voraussetzungen in grossen Teilen nicht, woran nichts ändert, dass sich der Beschwerdeführer angeblich bemüht haben will, Art. 42 Abs. 2 BGG zu beachten. Auf die Beschwerde kann daher nur im nachfolgenden engen Umfang eingetreten werden.</w:t>
      </w:r>
    </w:p>
    <w:p>
      <w:r>
        <w:rPr>
          <w:b/>
        </w:rPr>
        <w:t>E. 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Der Beschwerdeführer vermag nicht darzutun, dass die tatsächlichen Feststellungen des Obergerichts an einem massgeblichen Mangel leiden, namentlich offensichtlich unrichtig sind. Die vorinstanzlichen Sachverhaltsfeststellungen sind daher für das Bundesgericht verbindlich.</w:t>
      </w:r>
    </w:p>
    <w:p>
      <w:r>
        <w:rPr>
          <w:b/>
        </w:rPr>
        <w:t>E. 4.1</w:t>
      </w:r>
    </w:p>
    <w:p>
      <w:r>
        <w:t>Gemäss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Im Ermächtigungsverfahren dürfen - ausser bei obersten Vollziehungs- und Gerichtsbehörden - nur strafrechtliche Gesichtspunkte berücksichtigt werden ( BGE 137 IV 269 E. 2.4). Das Ermächtigungserfordernis dient namentlich dem Zweck, Behördenmitglieder und Beamte vor mutwilliger Strafverfolgung zu schützen und damit das reibungslose Funktionieren staatlicher Organe sicherzustellen. Nach der Rechtsprechung ist für die Erteilung der Ermächtigung ein Mindestmass an Hinweisen auf strafrechtlich relevantes Verhalten zu verlangen. Dabei muss eine Kompetenzüberschreitung oder eine gemessen an den Amtspflichten missbräuchliche Vorgehensweise oder ein sonstiges Verhalten, das strafrechtliche Konsequenzen zu zeitigen vermag, in minimaler Weise glaubhaft erscheinen und es müssen genügende Anhaltspunkte für eine strafbare Handlung vorliegen (Urteil des Bundesgerichts 1C_355/2018 vom 14. November 2018 E. 2.3, mit Hinweisen).</w:t>
      </w:r>
    </w:p>
    <w:p>
      <w:r>
        <w:rPr>
          <w:b/>
        </w:rPr>
        <w:t>E. 4.2</w:t>
      </w:r>
    </w:p>
    <w:p>
      <w:r>
        <w:t>Da sich der Beschwerdeführer einzig in knapp nachvollziehbarer Weise auf den Straftatbestand der Nötigung und keine weiteren Tatbestände beruft, ist auch nur zu prüfen, ob allenfalls eine Strafverfolgung mit Blick auf dieses Delikt in Betracht fiele. Der Nötigung gemäss Art. 181 StGB macht sich strafbar, wer jemanden durch Gewalt oder Androhung ernstlicher Nachteile oder durch andere Beschränkung seiner Handlungsfreiheit rechtswidrig nötigt, etwas zu tun, zu unterlassen oder zu dulden. 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(vgl. BGE 141 IV 437 E. 3.2.1 mit Hinweisen).</w:t>
      </w:r>
    </w:p>
    <w:p>
      <w:r>
        <w:rPr>
          <w:b/>
        </w:rPr>
        <w:t>E. 4.3</w:t>
      </w:r>
    </w:p>
    <w:p>
      <w:r>
        <w:t>Es ist notorisch, dass in der Schweiz im Herbst und Winter 2021/2022 im öffentlichen Bereich eine weitgehende Maskentragpflicht galt, die verschiedentlich auch an Schulen Anwendung fand. Dass eine solche Pflicht bestand, ist denn auch im vorliegenden Zusammenhang gar nicht strittig. Weiter ist es weder missbräuchlich noch unverhältnismässig, für einen Dispens davon ein ärztliches Attest zu verlangen. Dem Beschwerdeführer waren die Maskentragpflicht und das Erfordernis eines ärztlichen Zeugnisses für einen Dispens schon seit spätestens September 2021 bekannt, ohne dass er das nötige Attest vorgelegt hätte. Nachdem er den Schulbehörden am 10. Dezember 2021 mitgeteilt hatte, an Covid-19 erkrankt zu sein und mit seinem Sohn in Quarantäne zu bleiben, wurde er mit Schreiben vom 14. Dezember 2021 unter anderem aufgefordert, ein Zeugnis für den verlangten Maskentragdispens für seinen Sohn einzureichen, andernfalls nach Ablauf der Quarantänezeit, voraussichtlich ab dem 3. Januar 2022, wieder die Schulpflicht für seinen Sohn gelte. Es musste auch dem Beschwerdeführer klar sein, dass damit sinngemäss gemeint war, der Schulbesuch habe unter den für alle Schülerinnen und Schüler anwendbaren pandemiebedingten Modalitäten zu erfolgen, wozu weiterhin die Maskentragpflicht gehörte. Auch dies bestreitet er im Übrigen an sich nicht. Die dem Beschwerdeführer eingeräumte Frist erscheint angesichts der Vorgeschichte trotz der Feiertage ausreichend und zumutbar. Dass er sich allenfalls mit der Mutter seines Sohnes nicht über die Möglichkeit von Homeschooling zu einigen vermochte, ist nicht den Behörden anzulasten. Mit Blick auf die Grundschulpflicht nach Art. 62 Abs. 2 BV und der entsprechenden, unter Strafdrohung stehenden gesetzlichen Pflichten der Eltern im kantonalzürcherischen Recht (vgl. insbes. §§ 57 und 76 Volksschulgesetzes des Kantons Zürich vom 7. Februar 2005, VSG [LS 412.100]) ist daher nicht zu beanstanden, dass die kommunalen Schulbehörden den Beschwerdeführer wegen des Fernhaltens seines Sohnes vom Schulunterricht angezeigt hatten, nachdem die Frist zur Einreichung des ärztlichen Zeugnisses unbenutzt verstrichen war. Zudem waren sie nach § 51 VSG verpflichtet, wegen einer möglichen Gefährdung des Kindeswohls die für Kindesschutzmassnahmen zuständige Behörde zu informieren. Daran ändert nichts, dass allenfalls später ein solches Attest erlangt und eingereicht werden konnte.</w:t>
      </w:r>
    </w:p>
    <w:p>
      <w:r>
        <w:rPr>
          <w:b/>
        </w:rPr>
        <w:t>E. 4.4</w:t>
      </w:r>
    </w:p>
    <w:p>
      <w:r>
        <w:t>Mit der Vorinstanz ergibt sich damit, dass keine Hinweise auf eine Straftat vorliegen. Der angefochtene Entscheid verletzt Bundesrecht nicht.</w:t>
      </w:r>
    </w:p>
    <w:p>
      <w:r>
        <w:rPr>
          <w:b/>
        </w:rPr>
        <w:t>E. 5</w:t>
      </w:r>
    </w:p>
    <w:p>
      <w:r>
        <w:t>Die Beschwerde erweist sich als unbegründet und ist abzuweisen, soweit darauf eingetreten werden kann. Aufgrund der besonderen Umstände des vorliegenden Falles kann ausnahmsweise von der Erhebung von Kosten für das bundesgerichtliche Verfahren abgesehen werden (vgl. Art. 66 Abs. 1 BGG ). Über das Gesuch um Gewährung der unentgeltlichen Rechtspflege braucht damit nicht entschieden zu werden.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