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1C_334/2025 vom 30. Juni 2025</w:t>
      </w:r>
    </w:p>
    <w:p>
      <w:r>
        <w:t>Bundesgericht, 2025-06-30, DE</w:t>
      </w:r>
    </w:p>
    <w:p>
      <w:r>
        <w:rPr>
          <w:b/>
        </w:rPr>
        <w:t xml:space="preserve">Quelle: </w:t>
      </w:r>
      <w:r>
        <w:t>https://mcp.opencaselaw.ch/entscheid/bger_1C_334_2025</w:t>
      </w:r>
    </w:p>
    <w:p>
      <w:r>
        <w:t>FR: TF 1C_334/2025 du 30 juin 2025</w:t>
      </w:r>
    </w:p>
    <w:p>
      <w:r>
        <w:t>IT: TF 1C_334/2025 del 30 giugno 2025</w:t>
      </w:r>
    </w:p>
    <w:p>
      <w:pPr>
        <w:pStyle w:val="Heading2"/>
      </w:pPr>
      <w:r>
        <w:t>Erwägungen</w:t>
      </w:r>
    </w:p>
    <w:p>
      <w:r>
        <w:rPr>
          <w:b/>
        </w:rPr>
        <w:t>E. 1</w:t>
      </w:r>
    </w:p>
    <w:p>
      <w:r>
        <w:t>Am 25. September 2022 fand die Ersatzwahl der Betreibungsbeamtin bzw. des Betreibungsbeamten (Stadtamtsfrau bzw. Stadtammann) des Betreibungs- und Stadtamtskreises Zürich 9 für den Rest der Amtsdauer 2022-2026 statt, wobei B.________ das absolute Mehr erreichte und gewählt wurde. Mit Schreiben vom 24. Dezember 2024 wandte sich A.________ an die Stadtkanzlei Zürich und beantragte die Annullierung der Wahl, weil seine Bewerbung um das Amt nicht berücksichtigt worden sei. Die Stadtkanzlei leitete das Schreiben zuständigkeitshalber an den Bezirksrat Zürich weiter. Dieser nahm das Schreiben als Rekurs in Stimmrechtssachen entgegen und trat auf diesen mit Beschluss vom 6. Februar 2025 wegen verspäteter Einreichung nicht ein.</w:t>
      </w:r>
    </w:p>
    <w:p>
      <w:r>
        <w:rPr>
          <w:b/>
        </w:rPr>
        <w:t>E. 2</w:t>
      </w:r>
    </w:p>
    <w:p>
      <w:r>
        <w:t>Gegen den Entscheid des Bezirksrats gelangte A.________ an das Verwaltungsgericht des Kantons Zürich. Mit Urteil vom 26. Februar 2025 wies das Gericht die Beschwerde ab, soweit darauf eingetreten werden könne.</w:t>
      </w:r>
    </w:p>
    <w:p>
      <w:r>
        <w:rPr>
          <w:b/>
        </w:rPr>
        <w:t>E. 3</w:t>
      </w:r>
    </w:p>
    <w:p>
      <w:r>
        <w:t>Mit Eingabe vom 11. Juni 2025 (Postaufgabe) erhebt A.________ beim Bundesgericht Beschwerde gegen das Urteil des Verwaltungsgerichts. Am 23. Juni 2025 (Postaufgabe) reicht er Beilagen ein. Das Bundesgericht hat die in der Sache ergangenen Akten eingeholt. Es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ausgeführt, für den Beschwerdeführer sei eine Beistandschaft errichtet worden und die zuständige Kindes- und Erwachsenenschutzbehörde habe seine Handlungsfähigkeit in Bezug auf prozesseinleitende Handlungen gegenüber Behörden und Gerichten, ausgenommen in Bezug auf die für ihn unverändert bestehenden Erwachsenenschutzmassnahmen, eingeschränkt. Ob seine Prozessfähigkeit in der vorliegenden Sache ausnahmsweise bejaht werden müsse, könne offenbleiben, ebenso seine Legitimation. Die strittige Wahl sei im September 2022 erfolgt, mithin mehr als zwei Jahre vor Einreichung des Rekurses des Beschwerdeführers beim Bezirksrat. Die Kandidatinnen bzw. Kandidaten für das Amt seien schon im August 2022 bekannt gewesen. Damit habe der Beschwerdeführer den Rekurs offensichtlich verspätet eingereicht. Dass ihm eine frühere Rekurserhebung nicht möglich oder nicht zumutbar gewesen wäre, sei weder dargetan noch ersichtlich. Der Bezirksrat sei somit zu Recht auf den Rekurs nicht eingetreten, womit die Beschwerde abzuweisen sei, soweit darauf eingetreten werden könne. Der Beschwerdeführer setzt sich in seiner Beschwerde an das Bundesgericht mit den entscheidrelevanten Erwägungen des angefochtenen Urteils nicht auseinander und legt nicht und schon gar nicht konkret und im Einzelnen dar, inwiefern die Vorinstanz Recht im Sinne von Art. 42 Abs. 2 BGG verletzt haben soll, indem sie mit der erwähnten Begründung die Beschwerde abgewiesen hat, soweit darauf eingetreten werden könne. Seine Beschwerde genügt den Begründungsanforderungen offensichtlich nicht, weshalb auf sie ohne Prüfung der weiteren Eintretensvoraussetzungen, insbesondere der Prozessfähigkeit des Beschwerdeführers und der Rechtzeitigkeit der Beschwerdeerhebung, im vereinfachten Verfahren nach Art. 108 Abs. 1 BGG nicht einzutreten ist.</w:t>
      </w:r>
    </w:p>
    <w:p>
      <w:r>
        <w:rPr>
          <w:b/>
        </w:rPr>
        <w:t>E. 5</w:t>
      </w:r>
    </w:p>
    <w:p>
      <w:r>
        <w:t>Bei diesem Verfahrensausgang ist der Beschwerdeführer an sich kostenpflichtig; umständehalber kann auf eine Kostenerhebung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