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334/2015 vom 24. September 2015</w:t>
      </w:r>
    </w:p>
    <w:p>
      <w:r>
        <w:t>Bundesgericht, 2015-09-24, DE</w:t>
      </w:r>
    </w:p>
    <w:p>
      <w:r>
        <w:rPr>
          <w:b/>
        </w:rPr>
        <w:t xml:space="preserve">Quelle: </w:t>
      </w:r>
      <w:r>
        <w:t>https://mcp.opencaselaw.ch/entscheid/bger_1C_334_2015</w:t>
      </w:r>
    </w:p>
    <w:p>
      <w:r>
        <w:t>FR: TF 1C 334/2015 du 24 septembre 2015</w:t>
      </w:r>
    </w:p>
    <w:p>
      <w:r>
        <w:t>IT: TF 1C 334/2015 del 24 settembre 2015</w:t>
      </w:r>
    </w:p>
    <w:p>
      <w:pPr>
        <w:pStyle w:val="Heading2"/>
      </w:pPr>
      <w:r>
        <w:t>Regeste</w:t>
      </w:r>
    </w:p>
    <w:p>
      <w:r>
        <w:t>Urnenabstimmung vom 8. März 2015 (Kauf des Verwaltungs- und Lagergebäudes Fisher Scientific AG) | Politische Rechte</w:t>
      </w:r>
    </w:p>
    <w:p>
      <w:pPr>
        <w:pStyle w:val="Heading2"/>
      </w:pPr>
      <w:r>
        <w:t>Erwägungen</w:t>
      </w:r>
    </w:p>
    <w:p>
      <w:r>
        <w:rPr>
          <w:b/>
        </w:rPr>
        <w:t>E. 1</w:t>
      </w:r>
    </w:p>
    <w:p>
      <w:r>
        <w:t>Beim angefochtenen Urteil, mit welchem der Nichteintretensentscheid des DVI/AG bestätigt worden ist, handelt es sich um einen kantonal letztinstanzlichen Endentscheid, gegen den beim Bundesgericht Beschwerde in öffentlich-rechtlichen Angelegenheiten in Form der Stimmrechtsbeschwerde erhoben werden kann ( Art. 82 lit. c, Art. 86 Abs. 1 lit. d, Art. 88 Abs. 1 lit. a, Art. 89 Abs. 3 BGG ). Mit der Stimmrechtsbeschwerde kann unter anderem die Verletzung kantonaler Bestimmungen über die politische Stimmberechtigung der Bürger und Bürgerinnen und über Volkswahlen und -abstimmungen gerügt werden ( Art. 95 lit. d BGG ). Auf die Beschwerde ist grundsätzlich einzutreten.</w:t>
      </w:r>
    </w:p>
    <w:p>
      <w:r>
        <w:rPr>
          <w:b/>
        </w:rPr>
        <w:t>E. 2</w:t>
      </w:r>
    </w:p>
    <w:p>
      <w:r>
        <w:t>Umstritten ist, ob der Beschwerdeführer seine Abstimmungsbeschwerde ans DVI/AG vom 9. März 2015 rechtzeitig erhoben hat. Das DVI/AG erachtete die Beschwerde als verspätet und ist darauf nicht eingetreten. Die Vorinstanz hat diesen Nichteintretensentscheid geschützt.</w:t>
      </w:r>
    </w:p>
    <w:p>
      <w:r>
        <w:rPr>
          <w:b/>
        </w:rPr>
        <w:t>E. 2.1</w:t>
      </w:r>
    </w:p>
    <w:p>
      <w:r>
        <w:t>Ob und innert welcher Frist gegen Vorbereitungs- und Durchführungshandlungen von Wahlen und Abstimmungen kantonale Rechtsmittel erhoben werden können bzw. müssen, regelt das kantonale Recht (vgl. BGE 118 Ia 271 E. 1e S. 275). § 68 des kantonalen Gesetzes vom 10. März 1992 über die politischen Rechte (GPR/AG; SAR 131.100) bestimmt, dass Beschwerden innert drei Tagen seit der Entdeckung des Beschwerdegrundes, spätestens aber am dritten Tage nach der Veröffentlichung des Ergebnisses einer Wahl oder Abstimmung eingeschrieben bei der zuständigen Beschwerdeinstanz einzureichen sind. § 68 GPR/AG stimmt inhaltlich im Wesentlichen mit der Regelung von Art. 77 Abs. 2 des Bundesgesetzes vom 17. Dezember 1976 über die politischen Rechte (BPR; SR 161.1) überein. Nach der Rechtsprechung des Bundesgerichts zu Art. 77 Abs. 2 BPR sind Mängel hinsichtlich von Vorbereitungshandlungen im Vorfeld von Wahlen und Abstimmungen sofort und vor Durchführung des Urnengangs zu rügen. Diese Praxis bezweckt, dass Mängel möglichst noch vor der Wahl oder Abstimmung behoben werden können und der Urnengang nicht wiederholt zu werden braucht. Unterlässt dies der Stimmberechtigte, so verwirkt er grundsätzlich das Recht zur Anfechtung der Wahl oder Abstimmung. Es wäre mit dem Grundsatz von Treu und Glauben nicht vereinbar, wenn ein Mangel vorerst widerspruchslos hingenommen wird und hinterher die Wahl oder Abstimmung, soweit deren Ergebnis nicht den Erwartungen entspricht, wegen eben dieses Mangels angefochten würde ( BGE 118 Ia 271 E. 1d S. 274; vgl. zum Ganzen Urteil 1C_217/2008 vom 3. Dezember 2008 E. 1.2, in: ZBl 111/2010 S. 162).</w:t>
      </w:r>
    </w:p>
    <w:p>
      <w:r>
        <w:rPr>
          <w:b/>
        </w:rPr>
        <w:t>E. 2.2</w:t>
      </w:r>
    </w:p>
    <w:p>
      <w:r>
        <w:t>Die Vorinstanz hat erwogen, aus § 68 GPR/AG und der bundesgerichtlichen Rechtsprechung ( BGE 118 Ia 271 E. 1d S. 274) folge, dass Mängel, die Vorbereitungshandlungen von Abstimmungen beträfen, innert drei Tagen seit deren Entdeckung mittels Beschwerde geltend gemacht werden müssten und nicht zuerst das Abstimmungsergebnis abgewartet werden dürfe. Der Gemeinderat habe die Abstimmungsunterlagen für die Urnenabstimmung vom 8. März 2015 den Stimmberechtigten fristgerecht drei Wochen vor dem Abstimmungstermin zugestellt. Dies werde vom Beschwerdeführer nicht bestritten. Die Frist zur Beschwerdeerhebung mit Bezug auf allfällige Mängel in der behördlichen Abstimmungsinformation habe mit der Zustellung der Abstimmungsunterlagen zu laufen begonnen. Demzufolge habe das DVI/AG zutreffend festgestellt, dass die am 9. März 2015 eingereichte Beschwerde verspätet erhoben worden sei.</w:t>
      </w:r>
    </w:p>
    <w:p>
      <w:r>
        <w:rPr>
          <w:b/>
        </w:rPr>
        <w:t>E. 2.3</w:t>
      </w:r>
    </w:p>
    <w:p>
      <w:r>
        <w:t>Der Beschwerdeführer räumt ein, § 68 GPR/AG sehe vor, dass man innert drei Tagen seit der Entdeckung des Beschwerdegrundes Beschwerde einreichen müsse. Es stehe aber auch, dass man spätestens am dritten Tag nach Veröffentlichung des Abstimmungsergebnisses reagieren müsse. Er sei nicht Anwalt oder Stimmrechtsexperte und im kantonalen Verfahren nicht anwaltlich vertreten gewesen. Von einem Laien wie ihm habe nicht verlangt werden können, dass er bereits vor der Abstimmung vom 8. März 2015 reagiere. Weitere hinreichend substanziierte Rügen (vgl. Art. 42 Abs. 2 BGG ) erhebt der Beschwerdeführer nicht.</w:t>
      </w:r>
    </w:p>
    <w:p>
      <w:r>
        <w:rPr>
          <w:b/>
        </w:rPr>
        <w:t>E. 2.4</w:t>
      </w:r>
    </w:p>
    <w:p>
      <w:r>
        <w:t>Die Einwände des Beschwerdeführers sind nicht stichhaltig. Die vorinstanzlichen Erwägungen, welche auf der bundesgerichtlichen Rechtsprechung basieren, sind zutreffend. In Stimmrechtssachen ist an die Beschwerdebegründung kein strenger Massstab anzulegen ( BGE 121 I 1 E. 3b S. 6; Urteil 1C_217/2009 vom 11. August 2009 E. 2.2). Dies ändert aber nichts daran, dass auch nicht anwaltlich vertretene Stimmberechtigte die gesetzlichen Fristen einzuhalten haben. Die Frist von drei Tagen seit der Entdeckung von Mängeln, welche Vorbereitungshandlungen betreffen, galt mithin auch für den Beschwerdeführer. Die Fristbestimmung ist klar formuliert und auch für einen Laien verständlich. Der Beschwerdeführer hat unbestrittenermassen erst nach erfolgter Abstimmung vom 8. März 2015 Beschwerde erhoben und darin einzig angebliche Mängel in den drei Wochen vor der Abstimmung zugestellten behördlichen Unterlagen gerügt. Der Beschwerdeführer selbst behauptet denn auch nicht, dass er die Beschwerde innert drei Tagen seit Entdeckung des Beschwerdegrunds eingereicht hat. Dementsprechend haben die Vorinstanzen zu Recht auf eine verspätete Beschwerdeeinreichung geschlossen.</w:t>
      </w:r>
    </w:p>
    <w:p>
      <w:r>
        <w:rPr>
          <w:b/>
        </w:rPr>
        <w:t>E. 3</w:t>
      </w:r>
    </w:p>
    <w:p>
      <w:r>
        <w:t>Die Beschwerde ist abzuweisen, soweit darauf einzutreten ist. Bei diesem Ausgang sind die Kosten des bundesgerichtlichen Verfahrens dem Beschwerdeführer aufzuerlegen ( Art. 66 Abs.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