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1C_333/2011 vom 11. August 2011</w:t>
      </w:r>
    </w:p>
    <w:p>
      <w:r>
        <w:t>Bundesgericht, 2011-08-11, FR</w:t>
      </w:r>
    </w:p>
    <w:p>
      <w:r>
        <w:rPr>
          <w:b/>
        </w:rPr>
        <w:t xml:space="preserve">Quelle: </w:t>
      </w:r>
      <w:r>
        <w:t>https://mcp.opencaselaw.ch/entscheid/bger_1C_333_2011</w:t>
      </w:r>
    </w:p>
    <w:p>
      <w:r>
        <w:t>FR: TF 1C_333/2011 du 11 août 2011</w:t>
      </w:r>
    </w:p>
    <w:p>
      <w:r>
        <w:t>IT: TF 1C_333/2011 del 11 agosto 2011</w:t>
      </w:r>
    </w:p>
    <w:p>
      <w:pPr>
        <w:pStyle w:val="Heading2"/>
      </w:pPr>
      <w:r>
        <w:t>Erwägungen</w:t>
      </w:r>
    </w:p>
    <w:p>
      <w:r>
        <w:rPr>
          <w:b/>
        </w:rPr>
        <w:t>E. 1</w:t>
      </w:r>
    </w:p>
    <w:p>
      <w:r>
        <w:t>Conformément à l' art. 93 al. 2 LTF , le recours contre les décisions relatives à la détention extraditionnelle est ouvert si les conditions de l' art. 93 al. 1 LTF sont réunies, ce qui est le cas en l'espèce (cf. ATF 136 IV 20 consid. 1.1 p. 22). Les exigences de l' art. 84 LTF valent toutefois aussi pour ce genre de décision ( ATF 136 IV 20 consid. 1.2 p. 22).</w:t>
      </w:r>
    </w:p>
    <w:p>
      <w:r>
        <w:rPr>
          <w:b/>
        </w:rPr>
        <w:t>E. 1.1</w:t>
      </w:r>
    </w:p>
    <w:p>
      <w:r>
        <w:t>Selon cette disposition, le recours est notamment recevable à l'encontre d'un arrêt du Tribunal pénal fédéral en matière d'entraide judiciaire internationale si celui-ci a pour objet une 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Le recours pose la question de savoir si le délai de 40 jours peut être systématiquement prolongé sur la base de motifs généraux ou si, compte tenu de son caractère exceptionnel, une telle prolongation doit être accordée sur la base de motifs particuliers. Le recourant estime qu'il s'agirait d'une question de principe. Il n'en est rien.</w:t>
      </w:r>
    </w:p>
    <w:p>
      <w:r>
        <w:rPr>
          <w:b/>
        </w:rPr>
        <w:t>E. 1.3</w:t>
      </w:r>
    </w:p>
    <w:p>
      <w:r>
        <w:t>Conformément aux principes applicables en matière d'entraide judiciaire et d'extradition, les dispositions d'un traité liant la Suisse avec l'Etat requérant doivent être interprétées dans le sens le plus favorable à la collaboration internationale ( ATF 136 IV 82 consid. 3.1 p. 84 et les arrêts cités). Dès lors, dans la mesure où l' art. 13 al. 4 TExUS ne pose aucune condition matérielle à la prolongation du délai de quarante jours, mais en fait dépendre l'octroi d'une simple demande de l'Etat requérant, l'autorité requise ne saurait exiger une motivation particulière, ni se livrer à une vérification des éventuels motifs invoqués.</w:t>
      </w:r>
    </w:p>
    <w:p>
      <w:r>
        <w:t>Le TPF a par ailleurs procédé à une interprétation historique du traité, relevant que compte tenu des difficultés liées à la récolte et à la traduction des pièces nécessaires, les négociateurs américains avaient demandé un délai de 60 jours alors que la Suisse désirait s'en tenir au délai ordinaire de 40 jours. L' art. 13 al. 4 TExUS résultait ainsi d'un compromis tenant compte des besoins spécifiques des autorités américaines. Il est dès lors conforme au Traité d'appliquer l' art. 13 al. 4 TExUS de manière large, sans accorder d'importance exagérée à l'expression "exceptionnellement" qui y figure.</w:t>
      </w:r>
    </w:p>
    <w:p>
      <w:r>
        <w:rPr>
          <w:b/>
        </w:rPr>
        <w:t>E. 1.4</w:t>
      </w:r>
    </w:p>
    <w:p>
      <w:r>
        <w:t>L'arrêt attaqué est conforme aux règles d'interprétation rappelées ci-dessus. Il ne pose dès lors aucune question de principe qui justifierait l'intervention d'une seconde instance de recours.</w:t>
      </w:r>
    </w:p>
    <w:p>
      <w:r>
        <w:rPr>
          <w:b/>
        </w:rPr>
        <w:t>E. 2</w:t>
      </w:r>
    </w:p>
    <w:p>
      <w:r>
        <w:t>Le recours est dès lors irrecevable, et la cause peut être jugée selon la procédure prévue à l' art. 109 al. 1 LTF .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