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1C_331/2015 vom 4. September 2015</w:t>
      </w:r>
    </w:p>
    <w:p>
      <w:r>
        <w:t>Bundesgericht, 2015-09-04, DE</w:t>
      </w:r>
    </w:p>
    <w:p>
      <w:r>
        <w:rPr>
          <w:b/>
        </w:rPr>
        <w:t xml:space="preserve">Quelle: </w:t>
      </w:r>
      <w:r>
        <w:t>https://mcp.opencaselaw.ch/entscheid/bger_1C_331_2015</w:t>
      </w:r>
    </w:p>
    <w:p>
      <w:r>
        <w:t>FR: TF 1C_331/2015 du 4 septembre 2015</w:t>
      </w:r>
    </w:p>
    <w:p>
      <w:r>
        <w:t>IT: TF 1C_331/2015 del 4 settembre 2015</w:t>
      </w:r>
    </w:p>
    <w:p>
      <w:pPr>
        <w:pStyle w:val="Heading2"/>
      </w:pPr>
      <w:r>
        <w:t>Erwägungen</w:t>
      </w:r>
    </w:p>
    <w:p>
      <w:r>
        <w:rPr>
          <w:b/>
        </w:rPr>
        <w:t>E. 1</w:t>
      </w:r>
    </w:p>
    <w:p>
      <w:r>
        <w:t>Am 17. Februar 2015 erstattete A.________ Strafanzeige gegen den Kantonspolizisten Gfr. B.________. Die Strafanzeige steht im Zusammenhang mit einer Verkehrskontrolle. A.________ wirft dem Kantonspolizisten vor, sich der "Richterlichen Amtsanmassung", der "Entwendung" seines Fahrzeuges sowie der "Anstiftung und Gewaltanwendung" schuldig gemacht zu haben. Ausserdem habe der Kantonspolizist sein Fahrzeug eigenmächtig durchsucht.</w:t>
      </w:r>
    </w:p>
    <w:p>
      <w:r>
        <w:rPr>
          <w:b/>
        </w:rPr>
        <w:t>E. 2</w:t>
      </w:r>
    </w:p>
    <w:p>
      <w:r>
        <w:t>Die Staatsanwaltschaft Winterthur/Unterland überwies mit Verfügung vom 30. März 2015 die Sache dem Obergericht des Kantons Zürich, um über die Ermächtigung zur Durchführung einer Strafuntersuchung zu entscheiden. Mit Beschluss vom 14. Juli 2015 erteilte die III. Strafkammer des Obergerichts des Kantons Zürich der Staatsanwaltschaft die Ermächtigung zur Strafverfolgung nicht. Zur Begründung führte sie zusammenfassend aus, dass ein strafrechtlich relevantes Verhalten des Kantonspolizisten nicht ersichtlich sei, weshalb kein Anfangsverdacht gegen ihn vorliege.</w:t>
      </w:r>
    </w:p>
    <w:p>
      <w:r>
        <w:rPr>
          <w:b/>
        </w:rPr>
        <w:t>E. 3</w:t>
      </w:r>
    </w:p>
    <w:p>
      <w:r>
        <w:t>A.________ führt mit Eingabe vom 28. August 2015 (Postaufgabe 28. August 2015 sowie 1. und 2. September 2015) Beschwerde in öffentlich-rechtlichen Angelegenheiten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III. Strafkammer legte ausführlich dar, weshalb gegen den angezeigten Kantonspolizisten nach ihrer Auffassung kein Anfangsverdacht vorliege. Damit setzt sich der Beschwerdeführer überhaupt nicht auseinander und vermag nicht aufzuzeigen, inwiefern die Begründung der III. Strafkammer bzw. deren Beschluss selbst rechts- oder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