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331/2009 vom 3. November 2009</w:t>
      </w:r>
    </w:p>
    <w:p>
      <w:r>
        <w:t>Bundesgericht, 2009-11-03, DE</w:t>
      </w:r>
    </w:p>
    <w:p>
      <w:r>
        <w:rPr>
          <w:b/>
        </w:rPr>
        <w:t xml:space="preserve">Quelle: </w:t>
      </w:r>
      <w:r>
        <w:t>https://mcp.opencaselaw.ch/entscheid/bger_1C_331_2009</w:t>
      </w:r>
    </w:p>
    <w:p>
      <w:r>
        <w:t>FR: TF 1C 331/2009 du 3 novembre 2009</w:t>
      </w:r>
    </w:p>
    <w:p>
      <w:r>
        <w:t>IT: TF 1C 331/2009 del 3 novembre 2009</w:t>
      </w:r>
    </w:p>
    <w:p>
      <w:pPr>
        <w:pStyle w:val="Heading2"/>
      </w:pPr>
      <w:r>
        <w:t>Regeste</w:t>
      </w:r>
    </w:p>
    <w:p>
      <w:r>
        <w:t>Baubewilligung | Raumplanung und öffentliches Baurecht</w:t>
      </w:r>
    </w:p>
    <w:p>
      <w:pPr>
        <w:pStyle w:val="Heading2"/>
      </w:pPr>
      <w:r>
        <w:t>Erwägungen</w:t>
      </w:r>
    </w:p>
    <w:p>
      <w:r>
        <w:rPr>
          <w:b/>
        </w:rPr>
        <w:t>E. 1.1</w:t>
      </w:r>
    </w:p>
    <w:p>
      <w:r>
        <w:t>Das angefochtene Urteil des Verwaltungsgerichts ist ein Entscheid einer letzten kantonalen Instanz ( Art. 86 Abs. 1 lit. d BGG ). Ihm liegt ein Beschwerdeverfahren über eine baurechtliche Bewilligung und damit eine öffentlich-rechtliche Angelegenheit zu Grunde. Nach Art. 34 Abs. 1 RPG (SR 700) gelten für die Rechtsmittel an die Bundesbehörden die allgemeinen Bestimmungen über die Bundesrechtspflege. Das Bundesgerichtsgesetz enthält auf dem Gebiet des Bau- und des Umweltschutzrechts keinen Ausschlussgrund von der Beschwerde in öffentlich-rechtlichen Angelegenheiten ( Art. 82 lit. a und Art. 83 BGG ). Die Beschwerde in öffentlich-rechtlichen Angelegenheiten nach Art. 82 lit. a BGG steht somit grundsätzlich zur Verfügung ( BGE 133 II 249 E. 1.2 S. 251, 400 E. 2.1 S. 404).</w:t>
      </w:r>
    </w:p>
    <w:p>
      <w:r>
        <w:rPr>
          <w:b/>
        </w:rPr>
        <w:t>E. 1.2</w:t>
      </w:r>
    </w:p>
    <w:p>
      <w:r>
        <w:t>Die Beschwerdeführer haben am vorinstanzlichen Verfahren teilgenommen und bewohnen Liegenschaften, die entweder direkt an das Baugrundstück angrenzen oder von diesem lediglich durch die Kurzenbergstrasse bzw. den Wendeplatz getrennt sind. Sie sind vom umstrittenen Bauvorhaben besonders berührt und berufen sich auf schutzwürdige Interessen. Ihre Beschwerdelegitimation ist gestützt auf Art. 89 Abs. 1 BGG zu bejahen ( BGE 133 II 249 E. 1.3 S. 252 ff.).</w:t>
      </w:r>
    </w:p>
    <w:p>
      <w:r>
        <w:rPr>
          <w:b/>
        </w:rPr>
        <w:t>E. 1.3</w:t>
      </w:r>
    </w:p>
    <w:p>
      <w:r>
        <w:t>Mit dem angefochtenen Urteil weist das Verwaltungsgericht die Sache an die kommunale Baubehörde zu neuer Beurteilung zurück. Diese hat insbesondere über die flächen- und höhenmässige Reduktion des Attikageschosses und geänderte Grundrisse und Pläne der Ost- und Westfassade sowie eine Verschiebung des Autolifts zu entscheiden. Mit der Rückweisung der Angelegenheit zu neuer Beurteilung wird das Verfahren nicht abgeschlossen, da noch nicht über alle wesentlichen baurechtlichen Fragen kantonal letztinstanzlich entschieden wurde. Es liegt somit nicht ein Endentscheid über die Baubewilligung im Sinne von Art. 90 BGG vor, sondern ein Zwischenentscheid im Sinne von Art. 93 Abs. 1 BGG (Urteil des Bundesgerichts 1C_295/2007 vom 23. Januar 2008 E. 1.2 in: ZBl 109/2008 S. 441 f.). Art. 93 BGG dient der Prozessökonomie und soll das Bundesgericht entlasten. Dieses soll sich möglichst nur einmal mit einer Sache befassen. Daher tritt es auf gegen Vor- und Zwischenentscheide gerichtete Beschwerden nicht ein, sofern allfällige Nachteile in verhältnismässiger Weise auch noch mit einer bundesgerichtlichen Beurteilung nach Ausfällung des Endentscheids behoben werden können ( BGE 135 II 30 E. 1.3.2 S. 34 f.). Dass die Voraussetzungen von Art. 93 Abs. 1 BGG erfüllt sind, haben die Beschwerdeführer aufzuzeigen, soweit dies nicht ohne Weiteres auf der Hand liegt (vgl. BGE 134 II 137 E. 1.3.3 S. 141; 134 III 426 E. 1.2 S. 429; je mit Hinweisen; Urteil des Bundesgerichts 1C_407/2008 vom 25. Mai 2009 E. 1.3). Die Beschwerdeführer legen nicht dar, inwiefern der angefochtene Entscheid einen nicht wieder gutzumachenden Nachteil im Sinne von Art. 93 Abs. 1 lit. a BGG bewirken könnte. Ein solcher ist denn auch nicht ersichtlich.</w:t>
      </w:r>
    </w:p>
    <w:p>
      <w:r>
        <w:rPr>
          <w:b/>
        </w:rPr>
        <w:t>E. 1.4</w:t>
      </w:r>
    </w:p>
    <w:p>
      <w:r>
        <w:t>Nach Art. 93 Abs. 1 lit. b BGG ist die Beschwerde zulässig, wenn deren Gutheissung sofort einen Endentscheid herbeiführen und damit einen bedeutenden Aufwand an Zeit oder Kosten für ein weitläufiges Beweisverfahren ersparen würde. Dass diese Anforderungen vorliegend erfüllt wären, behaupten die Beschwerdeführer zu Recht nicht. Die erforderlichen Projektänderungen betreffen zwar teilweise wesentliche Fragen in Bezug auf die Erschliessung des umstrittenen Gebäudes. Es bestehen jedoch keine Anhaltspunkte, dass damit bedeutender Aufwand an Zeit oder Kosten für ein weitläufiges Beweisverfahren verbunden wäre. Auf die Beschwerde gegen den vorliegenden Zwischenentscheid kann somit nicht eingetreten werden. Hingegen kann der Zwischenentscheid zusammen mit dem Endentscheid angefochten werden ( Art. 93 Abs. 3 BGG ).</w:t>
      </w:r>
    </w:p>
    <w:p>
      <w:r>
        <w:rPr>
          <w:b/>
        </w:rPr>
        <w:t>E. 2</w:t>
      </w:r>
    </w:p>
    <w:p>
      <w:r>
        <w:t>Dem Ausgang des vorliegenden Verfahrens entsprechend sind die Gerichtskosten den unterliegenden Beschwerdeführern aufzuerlegen ( Art. 66 Abs. 1 BGG ). Diese haben den privaten Beschwerdegegner für das bundesgerichtliche Verfahren angemessen zu entschädigen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