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1C_330/2016 vom 27. September 2016</w:t>
      </w:r>
    </w:p>
    <w:p>
      <w:r>
        <w:t>Bundesgericht, 2016-09-27, DE</w:t>
      </w:r>
    </w:p>
    <w:p>
      <w:r>
        <w:rPr>
          <w:b/>
        </w:rPr>
        <w:t xml:space="preserve">Quelle: </w:t>
      </w:r>
      <w:r>
        <w:t>https://mcp.opencaselaw.ch/entscheid/bger_1C_330_2016</w:t>
      </w:r>
    </w:p>
    <w:p>
      <w:r>
        <w:t>FR: TF 1C_330/2016 du 27 septembre 2016</w:t>
      </w:r>
    </w:p>
    <w:p>
      <w:r>
        <w:t>IT: TF 1C_330/2016 del 27 settembre 2016</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Beschwerdeführerin ist gemäss Art. 89 Abs. 1 BGG zur Ergreifung dieses Rechtsmittels berechtigt. Die übrigen Sachurteilsvoraussetzungen geben zu keinen Bemerkungen Anlass. Auf die Beschwerde ist grundsätzlich einzutreten.</w:t>
      </w:r>
    </w:p>
    <w:p>
      <w:r>
        <w:rPr>
          <w:b/>
        </w:rPr>
        <w:t>E. 2.1</w:t>
      </w:r>
    </w:p>
    <w:p>
      <w:r>
        <w:t>Die Beschwerdeführerin macht geltend, sie habe ihre Beschwerde beim Verwaltungsgericht rechtzeitig erhoben.</w:t>
      </w:r>
    </w:p>
    <w:p>
      <w:r>
        <w:rPr>
          <w:b/>
        </w:rPr>
        <w:t>E. 2.2</w:t>
      </w:r>
    </w:p>
    <w:p>
      <w:r>
        <w:t>Gemäss § 20 Abs. 1 VRG des Gesetzes über die Verwaltungsrechtspflege des Kantons Thurgau vom 23. Februar 1981 (VRG; RB 170.1) sind Entscheide den Beteiligten schriftlich zu eröffnen. Die 20-tägige Rechtsmittelfrist läuft von der schriftlichen Zustellung an (§ 20 Abs. 3 i.V.m. § 57 Abs. 1 VRG), wobei der Tag der Entscheideröffnung bei der Fristberechnung nicht gezählt wird (§ 24 Abs. 1 VRG). Zur Fristwahrung muss die betreffende Handlung vor Ablauf der Frist vorgenommen werden. Schriftliche Eingaben müssen vor Ablauf der Frist dem Adressaten, der schweizerischen Post oder einer schweizerischen diplomatischen oder konsularischen Vertretung übergeben werden (§ 24 Abs. 3 VRG).</w:t>
      </w:r>
    </w:p>
    <w:p>
      <w:r>
        <w:rPr>
          <w:b/>
        </w:rPr>
        <w:t>E. 2.3</w:t>
      </w:r>
    </w:p>
    <w:p>
      <w:r>
        <w:t>Nach ständiger bundesgerichtlicher Rechtsprechung erfolgt die fristauslösende Zustellung einer uneingeschriebenen Sendung (A- oder B-Post) bereits dadurch, dass sie in den Briefkasten oder in das Postfach des Adressaten eingelegt wird und damit in den Verfügungsbereich des Empfängers gelangt. Nicht erforderlich ist, dass der Adressat sie tatsächlich in Empfang nimmt; es genügt, wenn sie in seinen Machtbereich gelangt und er demzufolge von ihr Kenntnis nehmen kann ( BGE 140 III 244 E. 5.1 S. 247 f. ; 122 I 139 E. 1 S. 143; 115 Ia 12 E. 3b S. 17; 113 Ib 296 E. 2a S. 297 f.). Dies hat zur Konsequenz, dass Fristen bereits im Zeitpunkt der ordnungsgemässen Zustellung und nicht erst bei tatsächlicher Kenntnisnahme durch den Adressaten zu laufen beginnen (vgl. ALFRED KÖLZ/ISABELLE HÄNER/MARTIN BERTSCHI, Verwaltungsverfahren und Verwaltungsrechtspflege des Bundes, 3. Aufl. 2013; Rz. 577).</w:t>
      </w:r>
    </w:p>
    <w:p>
      <w:r>
        <w:rPr>
          <w:b/>
        </w:rPr>
        <w:t>E. 2.4</w:t>
      </w:r>
    </w:p>
    <w:p>
      <w:r>
        <w:t>A-Post Plus Sendungen entsprechen grundsätzlich A-Post Sendungen. Im Unterschied zu diesen sind sie jedoch mit einer Nummer versehen, welche die elektronische Sendungsverfolgung im Internet ("Track &amp; Trace") ermöglicht; daraus ist u.a. ersichtlich, wann dem Empfänger die Sendung durch die Post zugestellt wurde (grundlegend Urteil des Bundesgerichts 2C_430/2009 vom 14. Januar 2010, publ. in: StR 65 [2010] 396 und RDAF 2010 II 458). Direkt bewiesen wird mit einem "Track &amp; Trace"-Auszug zwar nicht, dass die Sendung tatsächlich in den Empfangsbereich des Empfängers gelangt ist, sondern bloss, dass durch die Post ein entsprechender Eintrag in ihrem Erfassungssystem gemacht wurde. Aus diesem Eintrag lässt sich aber immerhin im Sinne eines Indizes darauf schliessen, dass die Sendung in den Briefkasten oder in das Postfach des Adressaten gelegt wurde (Urteil des Bundesgerichts 5A_547/2015 vom 4. Juli 2016 E. 2.2 mit Hinweisen, zur Publikation vorgesehen).</w:t>
      </w:r>
    </w:p>
    <w:p>
      <w:r>
        <w:rPr>
          <w:b/>
        </w:rPr>
        <w:t>E. 2.5</w:t>
      </w:r>
    </w:p>
    <w:p>
      <w:r>
        <w:t>Dass die Sendung in den Briefkasten des Empfängers gelangte, hat der Absender zu beweisen.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Rein hypothetische Überlegungen des Empfängers genügen hingegen nicht (Urteil 2C_165/2015 vom 21. Februar 2015 E. 2.3 sowie das bereits erwähnte Urteil 5A_547/2015 vom 4. Juli 2016 E. 2.4.1 mit Hinweisen).</w:t>
      </w:r>
    </w:p>
    <w:p>
      <w:r>
        <w:rPr>
          <w:b/>
        </w:rPr>
        <w:t>E. 2.6</w:t>
      </w:r>
    </w:p>
    <w:p>
      <w:r>
        <w:t>Vorliegend ist unbestritten, dass der angefochtene Entscheid vom 19. Oktober 2015 am gleichen Tag über die Schweizerische Post als "A-Post Plus"-Sendung versandt wurde. Dem "Track &amp; Trace"-Auszug kann entnommen werden, dass die Sendung am Montag, dem 19. Oktober 2015, um 21.00 Uhr, in 8010 Zürich Mülligen aufgegeben und um 21.47 Uhr zur Weiterleitung sortiert wurde. Am Dienstag, dem 20. Oktober 2015, um 00.55 Uhr, wurde die Sendung für die Zustellung an das Briefzentrum Zürich sortiert; um 6.59 Uhr erfolgte die Ankunft bei der Abhol-/Zustelle in U.________. Um 10.01 Uhr wurde die Sendung der Beschwerdeführerin zugestellt. Damit ist der Weg der Sendung durch die elektronische Sendungsverfolgung lückenlos nachgewiesen. Der von der Beschwerdeführerin dagegen erhobene Einwand, es könnte sein, dass die Sendung fälschlicherweise in den Briefkasten der Nachbarn eingelegt worden sei, ist hypothetischer Natur und vermag nicht zu überzeugen, zumal der Beschwerdeschrift auch keine plausiblen Gründe oder nachvollziehbare Umstände (z.B. Verwechslungen bei der Zustellung aufgrund gleicher oder ähnlicher lautender Familiennamen) zu entnehmen sind. Offenbar soll Rechtsanwalt Florian Wick, der die Beschwerdeführerin im vorliegenden Verfahren jedoch nicht vertrat, am 23. Oktober 2015 eine Orientierungskopie des Entscheid erhalten haben. Dieser Umstand ist für die Frage der fristauslösenden Eröffnung des angefochtenen Entscheids ohne Bedeutung. Daraus vermag die Beschwerdeführerin nichts zu ihren Gunsten abzuleiten.</w:t>
      </w:r>
    </w:p>
    <w:p>
      <w:r>
        <w:rPr>
          <w:b/>
        </w:rPr>
        <w:t>E. 2.7</w:t>
      </w:r>
    </w:p>
    <w:p>
      <w:r>
        <w:t>Wie die Vorinstanz zutreffend festhält, besteht somit kein Zweifel, dass der angefochtene Entscheid am 20. Oktober 2015 in den Briefkasten der Beschwerdeführerin gelegt wurde. Damit wurde die 20-tägige Rechtsmittelfrist ausgelöst, die am 9. November 2015 ablief. Wie dem Poststempel entnommen werden kann, hat die Beschwerdeführerin ihre auf den 4. November 2015 datierte Beschwerde jedoch erst am 11. November 2015 der Post übergeben. Auf die verspätet erhobene Beschwerde musste die Vorinstanz nicht eintreten.</w:t>
      </w:r>
    </w:p>
    <w:p>
      <w:r>
        <w:rPr>
          <w:b/>
        </w:rPr>
        <w:t>E. 3</w:t>
      </w:r>
    </w:p>
    <w:p>
      <w:r>
        <w:t>Nach dem Gesagten ist die Beschwerde als unbegründet abzuweisen.</w:t>
      </w:r>
    </w:p>
    <w:p>
      <w:r>
        <w:t>Es sind keine Gerichtskosten zu erheben ( Art. 30 Abs. 1 OHG ). Das Gesuch um unentgeltliche Rechtspflege ist damit gegenstandslos. Das Gesuch um Verbeiständung für das bundesgerichtliche Verfahren ist abzuweisen, da die Beschwerde schon zum Vornherein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