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1C_32/2018 vom 26. Januar 2018</w:t>
      </w:r>
    </w:p>
    <w:p>
      <w:r>
        <w:t>Bundesgericht, 2018-01-26, FR</w:t>
      </w:r>
    </w:p>
    <w:p>
      <w:r>
        <w:rPr>
          <w:b/>
        </w:rPr>
        <w:t xml:space="preserve">Quelle: </w:t>
      </w:r>
      <w:r>
        <w:t>https://mcp.opencaselaw.ch/entscheid/bger_1C_32_2018</w:t>
      </w:r>
    </w:p>
    <w:p>
      <w:r>
        <w:t>FR: TF 1C_32/2018 du 26 janvier 2018</w:t>
      </w:r>
    </w:p>
    <w:p>
      <w:r>
        <w:t>IT: TF 1C_32/2018 del 26 gennaio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d'entraide et de la nature de la transmission envisagée, portant sur la documentation relative à des comptes bancaires, le cas ne revêt en soi aucune importance particulière.</w:t>
      </w:r>
    </w:p>
    <w:p>
      <w:r>
        <w:rPr>
          <w:b/>
        </w:rPr>
        <w:t>E. 1.3</w:t>
      </w:r>
    </w:p>
    <w:p>
      <w:r>
        <w:t>Les recourantes estiment avoir démontré que la procédure en Argentine comporte des vices graves. Elles reprochent à la Cour des plaintes d'avoir déclaré irrecevables leurs griefs relatifs au principe "ne bis in idem" ainsi qu'aux défauts de la procédure étrangère. Sur ces points, l'arrêt attaqué est conforme à la pratique constante qui ne reconnaît la qualité pour soulever de tels griefs qu'à celui qui est concrètement exposé aux vices invoqués, soit la personne poursuivie qui réside sur le territoire de l'Etat requérant et encourt de ce fait un traitement prohibé, respectivement la personne exposée à une double condamnation (concernant l' art. 2 EIMP : ATF 130 II 217 consid. 8.2 p. 227 s.; 129 II 268 consid. 6.1 p. 271 et les arrêts cités; concernant le principe "ne bis in idem": arrêts 1C_534/2015 du 22 octobre 2015, 1A.5/2007 du 25 janvier 2008 consid. 2.4 et 3.5). Il en va de même s'agissant du principe de la spécialité, que seules peuvent invoquer les personnes courant le risque d'une utilisation prohibée (notamment à des fins fiscales) des renseignements transmis (arrêt 1A.252/1991 du 2 avril 1992 consid. 2c). Tel n'est pas le cas de sociétés panaméennes n'exerçant aucune activité dans l'Etat requérant et n'étant pas habilitées à agir dans l'intérêt de tiers ( art. 89 al. 1 let. b LTF ).</w:t>
      </w:r>
    </w:p>
    <w:p>
      <w:r>
        <w:rPr>
          <w:b/>
        </w:rPr>
        <w:t>E. 1.4</w:t>
      </w:r>
    </w:p>
    <w:p>
      <w:r>
        <w:t>Pour le surplus, les griefs relatifs au principe de la proportionnalité et de la double incrimination ne soulèvent aucune question de principe. La Cour des plaintes s'en est tenue sur le premier point à la jurisprudence constante qui consacre le principe d'utilité potentielle. Sur le second point, elle a considéré que les faits décrits dans la demande d'entraide seraient constitutifs en droit suisse de faux dans les titres. Les recourantes relèvent que la punissabilité du délit de blanchiment en droit argentin ne serait pas acquise, faute de délits préalables. Elles méconnaissent que l'autorité d'entraide judiciaire n'a pas à examiner la punissabilité des faits selon le droit de l'Etat requérant, comme cela ressort du texte clair de l' art. 64 al. 1 EIMP ainsi que de l'art. 6 al. 1 du traité d'entraide judiciaire avec l'Argentine (RS 0.351.915.4).</w:t>
      </w:r>
    </w:p>
    <w:p>
      <w:r>
        <w:rPr>
          <w:b/>
        </w:rPr>
        <w:t>E. 2</w:t>
      </w:r>
    </w:p>
    <w:p>
      <w:r>
        <w:t>En définitive, le cas ne revêt aucune importance particulière au sens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t>Le recours est dès lors irrecevable. Conformément à l' art. 66 al. 1 LTF , les frais judiciaires sont mis à la charge solidaire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