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32/2011 vom 4. Juli 2011</w:t>
      </w:r>
    </w:p>
    <w:p>
      <w:r>
        <w:t>Bundesgericht, 2011-07-04, FR</w:t>
      </w:r>
    </w:p>
    <w:p>
      <w:r>
        <w:rPr>
          <w:b/>
        </w:rPr>
        <w:t xml:space="preserve">Quelle: </w:t>
      </w:r>
      <w:r>
        <w:t>https://mcp.opencaselaw.ch/entscheid/bger_1C_32_2011</w:t>
      </w:r>
    </w:p>
    <w:p>
      <w:r>
        <w:t>FR: TF 1C 32/2011 du 4 juillet 2011</w:t>
      </w:r>
    </w:p>
    <w:p>
      <w:r>
        <w:t>IT: TF 1C 32/2011 del 4 luglio 2011</w:t>
      </w:r>
    </w:p>
    <w:p>
      <w:pPr>
        <w:pStyle w:val="Heading2"/>
      </w:pPr>
      <w:r>
        <w:t>Regeste</w:t>
      </w:r>
    </w:p>
    <w:p>
      <w:r>
        <w:t>retrait de permis | Construction des routes et circulation routière</w:t>
      </w:r>
    </w:p>
    <w:p>
      <w:pPr>
        <w:pStyle w:val="Heading2"/>
      </w:pPr>
      <w:r>
        <w:t>Erwägungen</w:t>
      </w:r>
    </w:p>
    <w:p>
      <w:r>
        <w:rPr>
          <w:b/>
        </w:rPr>
        <w:t>E. 1</w:t>
      </w:r>
    </w:p>
    <w:p>
      <w:r>
        <w:t>Dirigé contre une décision prise en dernière instance cantonale confirmant une mesure administrative en matière de permis de conduire, le recours est recevable comme recours en matière de droit public selon les art. 82 ss LTF , aucune des exceptions mentionnées à l' art. 83 LTF n'étant réalisée.</w:t>
      </w:r>
    </w:p>
    <w:p>
      <w:r>
        <w:rPr>
          <w:b/>
        </w:rPr>
        <w:t>E. 1.1</w:t>
      </w:r>
    </w:p>
    <w:p>
      <w:r>
        <w:t>La recourante est particulièrement touchée par la décision attaquée, qui confirme le retrait de son permis de conduire pour une durée d'un mois; elle a donc un intérêt digne de protection à obtenir son annulation, si bien qu'elle a la qualité pour recourir au sens de l' art. 89 al. 1 LTF .</w:t>
      </w:r>
    </w:p>
    <w:p>
      <w:r>
        <w:rPr>
          <w:b/>
        </w:rPr>
        <w:t>E. 1.2</w:t>
      </w:r>
    </w:p>
    <w:p>
      <w:r>
        <w:t>Pour être recevable, le recours doit satisfaire aux exigences de motivation de l' art. 42 LTF . Aux termes de l'alinéa 2 de cette disposition, les motifs du recours doivent exposer succinctement en quoi l'acte attaqué viole le droit. Il est douteux en l'espèce que le recours satisfasse à cette exigence. La question de la recevabilité peut toutefois demeurer indécise dès lors que le recours est quoi qu'il en soit mal fondé.</w:t>
      </w:r>
    </w:p>
    <w:p>
      <w:r>
        <w:rPr>
          <w:b/>
        </w:rPr>
        <w:t>E. 1.3</w:t>
      </w:r>
    </w:p>
    <w:p>
      <w:r>
        <w:t>Pour le surplus, interjeté en temps utile contre une décision finale, le recours est recevable au regard des art. 90 et 100 al. 1 LTF .</w:t>
      </w:r>
    </w:p>
    <w:p>
      <w:r>
        <w:rPr>
          <w:b/>
        </w:rPr>
        <w:t>E. 2</w:t>
      </w:r>
    </w:p>
    <w:p>
      <w:r>
        <w:t>En substance, la recourante fait grief à l'autorité précédente d'avoir reconnu l'existence d'une infraction moyennement grave. Elle conteste ne pas avoir voué toute l'attention requise à la circulation; elle n'aurait pas commis une inattention mais une mauvaise interprétation de la situation en pensant que le cycliste avait obliqué à droite. La recourante demande donc l'annulation de la sanction prononcée à son encontre.</w:t>
      </w:r>
    </w:p>
    <w:p>
      <w:r>
        <w:rPr>
          <w:b/>
        </w:rPr>
        <w:t>E. 2.1</w:t>
      </w:r>
    </w:p>
    <w:p>
      <w:r>
        <w:t>La LCR distingue les infractions légères, moyennement graves et graves (art. 16a-c LCR). Selon l' art. 16a al. 1 let. a LCR ,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 art. 16a al. 4 LCR ). Dans les autres cas, il ne peut être renoncé au retrait du permis du conducteur fautif au profit d'un avertissement seulement si, au cours des deux dernières années, le permis ne lui a pas été retiré et qu'aucune autre mesure administrative n'a été prononcée ( art. 16a al. 2 et 3 LCR ). Commet une infraction moyennement grave selon l' art. 16b al. 1 let. a LCR la personne qui, en violant les règles de la circulation, crée un danger pour la sécurité d'autrui ou en prend le risque. Dans cette hypothèse, le permis est retiré pour un mois au minimum ( art. 16b al. 2 let. a LCR ). Commet une infraction grave selon l' art. 16c al. 1 let. a LCR la personne qui, en violant gravement les règles de la circulation, met sérieusement en danger la sécurité d'autrui ou en prend le risque. Le permis de conduire est retiré pour trois mois au minimum après une infraction grave ( art. 16c al. 2 let. a LCR ). Le législateur conçoit l' 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135 II 138 consid. 2.2.2 p. 141; arrêt 6A.16/2006 du 6 avril 2006 consid. 2.1.1, in JdT 2006 I 442)</w:t>
      </w:r>
    </w:p>
    <w:p>
      <w:r>
        <w:rPr>
          <w:b/>
        </w:rPr>
        <w:t>E. 2.2</w:t>
      </w:r>
    </w:p>
    <w:p>
      <w:r>
        <w:t>Aux termes de l' art. 26 al. 1 LCR , chacun doit se comporter, dans la circulation, de manière à ne pas gêner ni mettre en danger ceux qui utilisent la route conformément aux règles établies. En particulier, le conducteur qui veut modifier sa direction de marche doit s'assurer que la man?uvre peut être entreprise sans danger pour les autres usagers de la route, notamment ceux qui le suivent ( art. 34 al. 3 LCR ). S'il veut obliquer à droite, il doit par ailleurs serrer le bord droit de la chaussée ( art. 36 al. 1 LCR ). Selon la jurisprudence, le conducteur qui souhaite obliquer à droite et se tient sans nécessité à une distance telle du bord droit de la route qu'il peut être dépassé par la droite, doit faire preuve d'une prudence particulière et prendre toutes les précautions pour éviter le danger découlant de cette situation. Il ne peut obliquer à droite que s'il a acquis la certitude qu'il n'entrera pas en collision avec aucun autre usager de la route. Il est ainsi tenu d'observer le trafic derrière lui et s'assurer, au besoin en observant un arrêt de sécurité, qu'il ne coupera pas la route à un autre véhicule ( ATF 127 IV 34 consid. 2b p. 40; 97 IV 34 ). Dans ce contexte, il sied de relever que les cycles peuvent devancer une file de véhicules automobiles par la droite s'ils utilisent la même voie et s'ils disposent d'un espace libre suffisant ( art. 42 al. 3 OCR ); dans les carrefours à sens giratoire sans délimitation de voies, les cyclistes peuvent déroger à l'obligation de tenir leur droite, mais n'y sont pas tenus ( art. 41b al. 3 OCR ).</w:t>
      </w:r>
    </w:p>
    <w:p>
      <w:r>
        <w:rPr>
          <w:b/>
        </w:rPr>
        <w:t>E. 2.3</w:t>
      </w:r>
    </w:p>
    <w:p>
      <w:r>
        <w:t>Il ressort de l'arrêt attaqué que la recourante était consciente de la présence d'un cycliste dans le trafic. Aussi, la recourante devait, avant d'obliquer, s'assurer de la direction qu'entendait prendre le cycliste, le cas échéant en marquant un arrêt de sécurité. Compte tenu de l'espace libre laissé sur sa droite, elle devait en effet être certaine que celui-ci n'entreprenait pas une man?uvre de dépassement. Elle ne pouvait se contenter de manifester son intention d'obliquer à droite avec son indicateur de direction. En effet, l'expérience enseigne qu'un tel signe, même donné assez tôt, est souvent méconnu ou remarqué trop tard ( ATF 97 IV 34 ). Dans ces conditions, contrairement à ce que soutient la recourante, c'est à juste titre que la CDAP a considéré qu'elle avait fait preuve d'une inattention fautive en quittant le giratoire sans accorder la priorité au cycliste qui circulait à sa droite conformément à la législation. Par son imprudence, la recourante a provoqué la collision avec le cycliste qui a chuté et a subi des lésions à la première vertèbre lombaire. La mise en danger de la sécurité du cycliste induite par la faute de la recourante ne peut donc être qualifiée de légère. Il est au demeurant manifeste que le fait de heurter un cycle avec un véhicule automobile peut avoir des conséquences graves pour la santé du cycliste. Dans ces circonstances, l'admission d'une infraction légère au sens de l' art. 16a al. 1 LCR - qui permettrait en l'espèce de prononcer un avertissement en lieu et place du retrait de permis de conduire - est exclue. La CDAP n'a donc pas violé le droit fédéral en confirmant que les éléments constitutifs d'une infraction moyennement grave au sens de l' art. 16b al. 1 let. a LCR étaient réunis.</w:t>
      </w:r>
    </w:p>
    <w:p>
      <w:r>
        <w:rPr>
          <w:b/>
        </w:rPr>
        <w:t>E. 2.4</w:t>
      </w:r>
    </w:p>
    <w:p>
      <w:r>
        <w:t>La durée du retrait de permis a été fixée au minimum légal d'un mois prévu par l' art. 16b al. 2 let. a LCR . Aussi, c'est en vain que la recourante se prévaut de ses bons antécédente et qu'elle fait valoir qu'elle a besoin de son permis pour des raisons professionnelles et personnelles; elle se fonde d'ailleurs à cet égard sur des pièces en partie nouvelles et, à ce titre, irrecevable selon l' art. 99 al. 1 LTF . De telles circonstances ne permettent en effet pas de déroger à la règle de l' art. 16 al. 3 LCR , qui confère aux durées de retrait minimales prévues par la loi un caractère incompressible ( ATF 132 II 234 consid. 2.3 p. 236 s.).</w:t>
      </w:r>
    </w:p>
    <w:p>
      <w:r>
        <w:rPr>
          <w:b/>
        </w:rPr>
        <w:t>E. 3</w:t>
      </w:r>
    </w:p>
    <w:p>
      <w:r>
        <w:t>Il s'ensuit que le recours doit être rejeté dans la mesure de sa recevabilité. La recourante, qui succombe,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