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329/2023 vom 7. Juli 2023</w:t>
      </w:r>
    </w:p>
    <w:p>
      <w:r>
        <w:t>Bundesgericht, 2023-07-07, DE</w:t>
      </w:r>
    </w:p>
    <w:p>
      <w:r>
        <w:rPr>
          <w:b/>
        </w:rPr>
        <w:t xml:space="preserve">Quelle: </w:t>
      </w:r>
      <w:r>
        <w:t>https://mcp.opencaselaw.ch/entscheid/bger_1C_329_2023</w:t>
      </w:r>
    </w:p>
    <w:p>
      <w:r>
        <w:t>FR: TF 1C 329/2023 du 7 juillet 2023</w:t>
      </w:r>
    </w:p>
    <w:p>
      <w:r>
        <w:t>IT: TF 1C 329/2023 del 7 luglio 2023</w:t>
      </w:r>
    </w:p>
    <w:p>
      <w:pPr>
        <w:pStyle w:val="Heading2"/>
      </w:pPr>
      <w:r>
        <w:t>Regeste</w:t>
      </w:r>
    </w:p>
    <w:p>
      <w:r>
        <w:t>Strassenverkehrsrecht (Gebührenrechnung und Mahngebühr) | Strassenbau und Strassenverkehr</w:t>
      </w:r>
    </w:p>
    <w:p>
      <w:pPr>
        <w:pStyle w:val="Heading2"/>
      </w:pPr>
      <w:r>
        <w:t>Erwägungen</w:t>
      </w:r>
    </w:p>
    <w:p>
      <w:r>
        <w:rPr>
          <w:b/>
        </w:rPr>
        <w:t>E. 1</w:t>
      </w:r>
    </w:p>
    <w:p>
      <w:r>
        <w:t>A.________ erhob mit Eingabe vom 25. Februar 2023 Beschwerde gegen das Verkehrsamt des Kantons Schwyz und ersuchte dabei um unentgeltliche Rechtspflege. Das Verwaltungsgericht des Kantons Schwyz forderte A.________ mit Verfügung vom 9. März 2023 auf, das beiliegende Formular "Auskünfte zur Erlangung der unentgeltlichen Rechtspflege" bis 27. März 2023 ausgefüllt und unterzeichnet dem Gericht einzureichen. Nachdem A.________ innert der angesetzten Frist nicht reagierte, setzte ihr das Verwaltungsgericht mit Verfügung vom 29. März eine nicht erstreckbare Nachfrist bis 11. April 2023, um entweder das beiliegende Formular "Auskünfte zur Erlangung der unentgeltlichen Rechtspflege" ausgefüllt und unterzeichnet dem Gericht einzureichen oder innert derselben, nicht erstreckbaren Nachfrist einen Kostenvorschuss von Fr. 600.-- zu bezahlen. Mit Eingabe vom 12. April 2023 reichte A.________ Unterlagen zur ihrer finanziellen Situation ein. Das Verwaltungsgericht des Kantons Schwyz trat mit Entscheid vom 30. Mai 2023 auf die Beschwerde nicht ein. A.________ habe die verlangten Unterlagen erst am 12. April 2023, und damit verspätet, der Post übergeben, weshalb androhungsgemäss auf die Beschwerde nicht einzutreten sei.</w:t>
      </w:r>
    </w:p>
    <w:p>
      <w:r>
        <w:rPr>
          <w:b/>
        </w:rPr>
        <w:t>E. 2</w:t>
      </w:r>
    </w:p>
    <w:p>
      <w:r>
        <w:t>A.________ führt mit Eingabe vom 30. Juni 2023 Beschwerde in öffentlich-rechtlichen Angelegenheiten gegen den Entscheid des Verwaltungsgerichts des Kantons Schwyz vom 30. Mai 2023.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 Die Beschwerdeführerin setzt sich mit der Begründung des Verwaltungsgerichts, die zum Nichteintreten auf ihre Beschwerde führte, nicht auseinander. Sie vermag daher nicht im Einzelnen und konkret aufzuzeigen, inwiefern die Begründung des Verwaltungsgerichts bzw. dessen Entscheid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