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1C_329/2017 vom 27. Juni 2017</w:t>
      </w:r>
    </w:p>
    <w:p>
      <w:r>
        <w:t>Bundesgericht, 2017-06-27, DE</w:t>
      </w:r>
    </w:p>
    <w:p>
      <w:r>
        <w:rPr>
          <w:b/>
        </w:rPr>
        <w:t xml:space="preserve">Quelle: </w:t>
      </w:r>
      <w:r>
        <w:t>https://mcp.opencaselaw.ch/entscheid/bger_1C_329_2017</w:t>
      </w:r>
    </w:p>
    <w:p>
      <w:r>
        <w:t>FR: TF 1C_329/2017 du 27 juin 2017</w:t>
      </w:r>
    </w:p>
    <w:p>
      <w:r>
        <w:t>IT: TF 1C_329/2017 del 27 giugno 2017</w:t>
      </w:r>
    </w:p>
    <w:p>
      <w:pPr>
        <w:pStyle w:val="Heading2"/>
      </w:pPr>
      <w:r>
        <w:t>Erwägungen</w:t>
      </w:r>
    </w:p>
    <w:p>
      <w:r>
        <w:rPr>
          <w:b/>
        </w:rPr>
        <w:t>E. 1</w:t>
      </w:r>
    </w:p>
    <w:p>
      <w:r>
        <w:t>Die A.________ AG ersuchte mit Schreiben vom 14. Februar 2015 den Stadtrat Baden um "Freigabe der provisorisch abgesperrten beiden Nischen-Parkplätze" sowie um "Sicherstellung der zwei verlangten Parkplätze durch Grundbuch-Eintrag". Mit Beschluss vom 4. Mai 2015 wies der Stadtrad Baden den Antrag ab. Dagegen erhob die A.________ AG Verwaltungsbeschwerde, welche das Departement Bau, Verkehr und Umwelt des Kantons Aargau mit Entscheid vom 15. November 2016 abwies. Die A.________ AG erhob gegen den Entscheid des Departements am 15. Dezember 2016 Beschwerde. Das Verwaltungsgericht des Kantons Aargau wies die Beschwerde mit Urteil vom 5. Mai 2017 ab, soweit es darauf eintrat. Zur Begründung führte das Verwaltungsgericht zusammenfassend aus, die betreffende Parkfläche stehe im Eigentum der Gemeinde, sei 2006 abgesperrt worden und stehe seither der Beschwerdeführerin nicht mehr als Parkplatz zur Verfügung. Es bestehe kein Rechtsanspruch auf Einräumung eines Sondernutzungsrechts. Auch könne die Einwohnergemeinde Baden nicht verpflichtet werden, die betreffende Fläche der Beschwerdeführerin zu verkaufen. Die Beschwerdeführerin habe kein obligatorisches oder dingliches Recht auf den von ihr beanspruchten Teil der Parzelle Nr. xxx.</w:t>
      </w:r>
    </w:p>
    <w:p>
      <w:r>
        <w:rPr>
          <w:b/>
        </w:rPr>
        <w:t>E. 2</w:t>
      </w:r>
    </w:p>
    <w:p>
      <w:r>
        <w:t>Die A.________ AG führt mit Eingabe vom 11. Juni 2017 Beschwerde in öffentlich-rechtlichen Angelegenheiten gegen das Urteil des Verwaltungsgerichts des Kantons Aargau vom 5. Mai 2017. Da das angefochtene Urteil der Beschwerde nicht beilag, forderte das Bundesgericht die A.________ AG mit Verfügung vom 14. Juni 2017 auf, diesen Mangel bis spätestens am 21. Juni 2017 zu beheben. Die A.________ AG kam dieser Aufforderung innert Frist nach und reichte am 21. Juni 2017 noch eine Beschwerdeergänzung ein. Das Bundesgericht verzichtet auf die Einholung von Vernehmlassungen.</w:t>
      </w:r>
    </w:p>
    <w:p>
      <w:r>
        <w:rPr>
          <w:b/>
        </w:rPr>
        <w:t>E. 3</w:t>
      </w:r>
    </w:p>
    <w:p>
      <w:r>
        <w:t>Beschwerden gegen einen Entscheid sind gemäss Art. 100 Abs. 1 BGG innert 30 Tagen nach der Eröffnung der vollständigen Ausfertigung beim Bundesgericht einzureichen. Die Beschwerdeführerin hat das Urteil des Verwaltungsgerichts am 12. Mai 2017 erhalten. Die Beschwerdeergänzung vom 21. Juni 2017 ist daher als offensichtlich verspätet aus dem Recht zu weisen.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die keinen zulässigen Beschwerdegrund nennt, setzt sich mit den Ausführungen des Verwaltungsgerichts nicht auseinander und vermag mit der Darstellung ihrer Sicht der Dinge nicht aufzuzeigen, inwiefern die Begründung des Verwaltungsgerichts, die zur Abweisung der Beschwerde führte, bzw. das verwaltungsgerichtliche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