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1C_328/2017 vom 15. Juni 2017</w:t>
      </w:r>
    </w:p>
    <w:p>
      <w:r>
        <w:t>Bundesgericht, 2017-06-15, FR</w:t>
      </w:r>
    </w:p>
    <w:p>
      <w:r>
        <w:rPr>
          <w:b/>
        </w:rPr>
        <w:t xml:space="preserve">Quelle: </w:t>
      </w:r>
      <w:r>
        <w:t>https://mcp.opencaselaw.ch/entscheid/bger_1C_328_2017</w:t>
      </w:r>
    </w:p>
    <w:p>
      <w:r>
        <w:t>FR: TF 1C_328/2017 du 15 juin 2017</w:t>
      </w:r>
    </w:p>
    <w:p>
      <w:r>
        <w:t>IT: TF 1C_328/2017 del 15 giugno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(renseignements bancaires et documents saisis lors d'une perquisition). Toutefois, compte tenu des faits à l'origine de la demande (des actes d'escroquerie et de blanchiment d'argent, sans aucune connotation politique) et de la nature de la transmission envisagée, le cas ne revêt en soi aucune importance particulière.</w:t>
      </w:r>
    </w:p>
    <w:p>
      <w:r>
        <w:rPr>
          <w:b/>
        </w:rPr>
        <w:t>E. 1.3</w:t>
      </w:r>
    </w:p>
    <w:p>
      <w:r>
        <w:t>Les recourants font valoir que la procédure ouverte dans la Principauté de Monaco comporterait des irrégularités " massives ". Ils estiment que la procédure serait utilisée par les parties civiles en vue d'une campagne de dénigrement et afin d'asseoir des prétentions civiles élevées à Singapour et dans d'autres Etats. La violation du secret de l'instruction et le prononcé de mesures de contrainte excessives dénoteraient l'absence d'indépendance et d'impartialité, ainsi qu'une violation de la présomption d'innocence faisant actuellement l'objet d'une procédure devant la Cour européenne des droits de l'homme.</w:t>
      </w:r>
    </w:p>
    <w:p>
      <w:r>
        <w:t>En tant qu'ils sont dirigés contre les parties civiles, ces reproches ne sont pas à même de faire apparaître des violations des droits de l'homme commises par les autorités monégasques. On ne voit pas pourquoi ni comment ces autorités pourraient intervenir afin de prévenir des démarches prétendument abusives commises dans des Etats tiers. Il en va de même des éventuelles violations du secret de l'instruction, qui sont apparemment du seul fait des parties civiles. La jurisprudence considère au demeurant que des indiscrétions dans l'enquête pénale étrangère, et l'écho qu'en font les médias, même en violation du secret de l'instruction, ne constituent pas un défaut grave au sens de l' art. 2 let . d EIMP ( ATF 115 Ib 69 consid. 6 p. 86/87; 110 Ib 173 consid. 6b p. 182-184; arrêts 1C_596/2012 du 28 novembre 2012 consid. 2.4; 1A.212/2001 du 21 mars 2002, consid. 5.2.2).</w:t>
      </w:r>
    </w:p>
    <w:p>
      <w:r>
        <w:t>Quant aux mesures de contrainte et autres irrégularités dénoncées par les recourants (arrestation et garde à vue de trois jours, intervention de l'avocate des parties civiles en tant que traductrice, rencontre entre le plaignant et le chef des services judiciaires, évocation de l'affaire avec le chef de l'Etat), rien ne permet de les qualifier de manifestement excessives au point de pouvoir en déduire une violation des garanties découlant de la CEDH, y compris une violation de la présomption d'innocence. En tant que partie à la CEEJ et à la CEDH, l'Etat requérant bénéficie d'une présomption de respect des garanties procédurales ( ATF 129 II 544 consid. 4.1 - non publié). Une telle présomption ne saurait être renversée que sur la base d'éléments de preuve incontestables, qui font en l'occurrence défaut.</w:t>
      </w:r>
    </w:p>
    <w:p>
      <w:r>
        <w:t>Le retentissement médiatique de l'affaire, les montants en jeu et la valeur des oeuvres d'art concernées ne suffisent pas non plus pour faire de la présente cause un cas particulièrement important; l'affaire ne porte pas sur des délits qui, par leur nature, justifieraient l'intervention d'une seconde instance de recours.</w:t>
      </w:r>
    </w:p>
    <w:p>
      <w:r>
        <w:rPr>
          <w:b/>
        </w:rPr>
        <w:t>E. 2</w:t>
      </w:r>
    </w:p>
    <w:p>
      <w:r>
        <w:t>Faute de porter sur un cas particulièrement important, le recours est irrecevable. Conformément à l' art. 66 al. 1 LTF , les frais judiciaires sont mis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