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1C_326/2017 vom 15. Juni 2017</w:t>
      </w:r>
    </w:p>
    <w:p>
      <w:r>
        <w:t>Bundesgericht, 2017-06-15, IT</w:t>
      </w:r>
    </w:p>
    <w:p>
      <w:r>
        <w:rPr>
          <w:b/>
        </w:rPr>
        <w:t xml:space="preserve">Quelle: </w:t>
      </w:r>
      <w:r>
        <w:t>https://mcp.opencaselaw.ch/entscheid/bger_1C_326_2017</w:t>
      </w:r>
    </w:p>
    <w:p>
      <w:r>
        <w:t>FR: TF 1C_326/2017 du 15 juin 2017</w:t>
      </w:r>
    </w:p>
    <w:p>
      <w:r>
        <w:t>IT: TF 1C_326/2017 del 15 giugno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vagliato nel merito ( DTF 142 II 363 consid. 1).</w:t>
      </w:r>
    </w:p>
    <w:p>
      <w:r>
        <w:rPr>
          <w:b/>
        </w:rPr>
        <w:t>E. 1.2</w:t>
      </w:r>
    </w:p>
    <w:p>
      <w:r>
        <w:t>L'atto di ricorso si diffonde in sostanza su questioni relative alla ricusazione di membri di diverse autorità amministrative e giudiziarie ticinesi e su generiche critiche alle modalità di gestione di scritti e gravami presentati dai ricorrenti dinanzi a esse. Queste censure esulano dall'oggetto della vertenza e non possono pertanto essere esaminate. Unico oggetto della decisione impugnata e quindi del presente litigio è infatti la richiesta di anticipo del Giudice delegato.</w:t>
      </w:r>
    </w:p>
    <w:p>
      <w:r>
        <w:rPr>
          <w:b/>
        </w:rPr>
        <w:t>E. 1.3</w:t>
      </w:r>
    </w:p>
    <w:p>
      <w:r>
        <w:t>La decisione con cui viene chiesto un anticipo per le spese presunte del processo, come noto ai ricorrenti (sentenza 4A_205/2017 del 10 maggio 2017 consid. 5 che li riguardava), è una decisione incidentale, che può essere impugnata soltanto qualora possa causare un pregiudizio irreparabile di natura giuridica, nocumenti di mero fatto non essendo sufficienti. Ne segue che i ricorrenti che impugnano una tale decisione e che affermano di non poter accedere a un tribunale, devono dimostrare nella motivazione del gravame che questo pregiudizio li minacci effettivamente in quanto non finanziariamente in grado di fornire l'anticipo richiesto ( DTF 142 III 798 consid. 2 con numerosi riferimenti).</w:t>
      </w:r>
    </w:p>
    <w:p>
      <w:r>
        <w:rPr>
          <w:b/>
        </w:rPr>
        <w:t>E. 1.4</w:t>
      </w:r>
    </w:p>
    <w:p>
      <w:r>
        <w:t>Accennando al fatto ch'essi avrebbero chiesto d'essere esonerati dal versamento litigioso e, a quanto parrebbe, aver chiesto una proroga del termine di pagamento, nonché criticando in maniera del tutto generica l'invio della richiesta d'anticipo per lettera raccomandata, e non quale atto giudiziario, senza peraltro contestare d'averla ricevuta tempestivamente, i ricorrenti producono la ricevuta del versamento richiesto, effettuato in data 10 giugno 2017. Non si è quindi in presenza di un pregiudizio irreparabile, motivo per cui il ricorso è inammissibile. Spetterà se del caso al Tribunale cantonale amministrativo pronunciarsi sulla tempestività di questo versamento, sulla criticata disgiunzione dei gravami presentati dai ricorrenti, che attengono a fattispecie diverse (vedi causa 1C_325/2017 decisa in data odierna), e sulle censure di merito.</w:t>
      </w:r>
    </w:p>
    <w:p>
      <w:r>
        <w:rPr>
          <w:b/>
        </w:rPr>
        <w:t>E. 1.5</w:t>
      </w:r>
    </w:p>
    <w:p>
      <w:r>
        <w:t>Ne segue che il ricorso è inammissibile. Le spese inutili sono pagate da chi le causa e seguono la soccombenza ( art. 66 cpv. 1 e 3 LTF ).</w:t>
      </w:r>
    </w:p>
    <w:p>
      <w:r>
        <w:t>L'emanazione del presente giudizio rende priva d'oggetto la domanda d'effetto sospensivo.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