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326/2016 vom 7. Dezember 2017</w:t>
      </w:r>
    </w:p>
    <w:p>
      <w:r>
        <w:t>Bundesgericht, 2017-12-07, FR</w:t>
      </w:r>
    </w:p>
    <w:p>
      <w:r>
        <w:rPr>
          <w:b/>
        </w:rPr>
        <w:t xml:space="preserve">Quelle: </w:t>
      </w:r>
      <w:r>
        <w:t>https://mcp.opencaselaw.ch/entscheid/bger_1C_326_2016</w:t>
      </w:r>
    </w:p>
    <w:p>
      <w:r>
        <w:t>FR: TF 1C 326/2016 du 7 décembre 2017</w:t>
      </w:r>
    </w:p>
    <w:p>
      <w:r>
        <w:t>IT: TF 1C 326/2016 del 7 dicembre 2017</w:t>
      </w:r>
    </w:p>
    <w:p>
      <w:pPr>
        <w:pStyle w:val="Heading2"/>
      </w:pPr>
      <w:r>
        <w:t>Regeste</w:t>
      </w:r>
    </w:p>
    <w:p>
      <w:r>
        <w:t>permis de construire, contrôle incident de la planification, modifications sensibles des circonstances au sens de l'art. 21 al. 2 LAT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Propriétaires de parcelles directement voisines du projet contesté, ils sont particulièrement touchés par l'arrêt attaqué qui autorise la construction litigieuse; ils peuvent ainsi se prévaloir d'un intérêt personnel et digne de protection à son annulation. Ils ont dès lors qualité pour agir au sens de l' art. 89 al. 1 LTF . Les autres conditions de recevabilité sont remplies si bien qu'il convient d'entrer en matière sur le recours.</w:t>
      </w:r>
    </w:p>
    <w:p>
      <w:r>
        <w:rPr>
          <w:b/>
        </w:rPr>
        <w:t>E. 2</w:t>
      </w:r>
    </w:p>
    <w:p>
      <w:r>
        <w:t>En lien avec leur grief portant sur la violation de l' art. 21 al. 2 LAT (consid. 5 ci-dessous), les recourants se plaignent d'une constatation inexacte des faits et demandent au Tribunal fédéral de compléter les constatations cantonales en application de l' art. 105 al. 2 LTF .</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 ATF 140 III 264 consid. 2.3 p. 266; 139 II 404 consid. 10.1 p. 445; 137 II 353 consid. 5.1 p. 356 et les arrêts cités).</w:t>
      </w:r>
    </w:p>
    <w:p>
      <w:r>
        <w:rPr>
          <w:b/>
        </w:rPr>
        <w:t>E. 2.2</w:t>
      </w:r>
    </w:p>
    <w:p>
      <w:r>
        <w:t>De l'aveu même des recourants, le grief de violation de l' art. 21 al. 2 LAT est soulevé pour la première fois devant le Tribunal fédéral. Or, selon la jurisprudence, un grief juridique nouveau invoqué à l'appui d'un recours fédéral n'est en principe recevable qu'à la condition qu'il se fonde sur l'état de fait retenu par l'instance précédente (cf. ATF 142 I 155 consid. 4.4.3 p. 156 et les nombreuses références citées). Il s'ensuit que, dans la mesure où les recourants demandent au Tribunal fédéral de compléter les faits de manière à pouvoir examiner la nécessité d'effectuer un contrôle préjudiciel en application de l' art. 21 al. 2 LAT , la recevabilité de leur critique paraît douteuse. Cette question peut toutefois demeurer indécise dès lors que les contestations factuelles des recourants s'avèrent, pour les motifs qui suivent, mal fondées.</w:t>
      </w:r>
    </w:p>
    <w:p>
      <w:r>
        <w:rPr>
          <w:b/>
        </w:rPr>
        <w:t>E. 2.3</w:t>
      </w:r>
    </w:p>
    <w:p>
      <w:r>
        <w:t>Les recourants soutiennent que la cour cantonale aurait omis de constater que la surface à bâtir totale de la commune était surdimensionnée, ce qui commanderait, selon eux, de procéder à un contrôle incident de la planification en application de l' art. 21 al. 2 LAT . Sans explicitement retenir que la zone constructible communale est surdimensionnée (cf. Bilan des réserves d'habitation et mixte pour les communes et quartiers hors des centres du 20 juin 2015, versé au dossier le 23 décembre 2015), l'instance précédente a néanmoins tenu compte de cette hypothèse - à tout le moins implicitement - en jugeant que la modification de la LAT du 15 juin 2012 ne remettait a priori pas en cause le droit des propriétaires d'obtenir un permis de construire. Quoi qu'il en soit, comme cela sera développé ultérieurement, le surdimensionnement de la zone à bâtir communale n'est en l'occurrence pas propre, à lui seul, à faire échec au projet litigieux (cf. consid. 5).</w:t>
      </w:r>
    </w:p>
    <w:p>
      <w:r>
        <w:rPr>
          <w:b/>
        </w:rPr>
        <w:t>E. 2.4</w:t>
      </w:r>
    </w:p>
    <w:p>
      <w:r>
        <w:t>Selon les recourants, il n'aurait pas non plus été établi que la parcelle du projet se trouve "en bordure de deux parcelles sises en zone d'habitation de très faible densité, à la limite du village". Ce grief est sans fondement dès lors que cet élément ressort clairement du plan communal d'affectation, lequel illustre effectivement que la parcelle en cause jouxte, au sud, la zone d'habitation individuelle (cf. art. 77 ss RPGA); il en ressort par ailleurs également, que la parcelle no 16 est pour le surplus exclusivement bordée de biens-fonds construits affectés à la zone du village B.</w:t>
      </w:r>
    </w:p>
    <w:p>
      <w:r>
        <w:rPr>
          <w:b/>
        </w:rPr>
        <w:t>E. 2.5</w:t>
      </w:r>
    </w:p>
    <w:p>
      <w:r>
        <w:t>Sur le vu de ce qui précède, les griefs relatifs à l'établissement des faits doivent être écartés.</w:t>
      </w:r>
    </w:p>
    <w:p>
      <w:r>
        <w:rPr>
          <w:b/>
        </w:rPr>
        <w:t>E. 3</w:t>
      </w:r>
    </w:p>
    <w:p>
      <w:r>
        <w:t>Les recourants se plaignent que le Tribunal cantonal n'aurait pas examiné leur grief portant sur la conformité du projet avec l'esprit de la zone, "site marqué par le caractère villageois des constructions existantes". Ils invoquent à cet égard une violation de leur droit d'être entendus, garantie ancrée à l' art. 29 al. 2 Cst.</w:t>
      </w:r>
    </w:p>
    <w:p>
      <w:r>
        <w:rPr>
          <w:b/>
        </w:rPr>
        <w:t>E. 3.1</w:t>
      </w:r>
    </w:p>
    <w:p>
      <w:r>
        <w:t>Selon la jurisprudence, l'autorité qui ne traite pas un grief relevant de sa compétence, motivé de façon suffisante et pertinente pour l'issue du litige commet un déni de justice formel proscrit par l' art. 29 al. 1 Cst. ( ATF 135 I 6 consid. 2.1 p. 9; 117 Ia 116 consid. 3a p. 117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w:t>
      </w:r>
    </w:p>
    <w:p>
      <w:r>
        <w:rPr>
          <w:b/>
        </w:rPr>
        <w:t>E. 3.2</w:t>
      </w:r>
    </w:p>
    <w:p>
      <w:r>
        <w:t>Le grief de violation de l' art. 29 al. 2 Cst. se révèle d'emblée infondé. En effet, l'examen des recours cantonaux successifs montre que les critiques liées à l'intégration du projet dans la zone du village B n'ont pas été formulées pour elles-mêmes - on cherche d'ailleurs en vain dans ces écritures les dispositions communales ou cantonales pertinentes en matière d'intégration -, mais en lien avec la problématique des places de parc, réglée, pour la zone concernée, aux art. 53 et 55 RPAPC (cf. recours cantonal du 23 décembre 2015, ch. 6 s. et ch. 15). Les recourants soutenaient en substance que la réalisation des bâtiments d'habitation envisagés impliquerait la création d'un nombre trop important de stationnements ce qui, selon eux, démontrerait le caractère démesuré du projet. Or, quoi qu'en dise les recourants, l'instance précédente a délivré son appréciation sur cette question, jugeant en particulier que le projet répondait en tout point aux exigences règlementaires en matière de stationnement, ce que les recourants ne manquent d'ailleurs pas de critiquer céans en toute connaissance de cause (cf. consid. 4). Il s'ensuit que, mal fondé, ce grief doit être rejeté.</w:t>
      </w:r>
    </w:p>
    <w:p>
      <w:r>
        <w:rPr>
          <w:b/>
        </w:rPr>
        <w:t>E. 4</w:t>
      </w:r>
    </w:p>
    <w:p>
      <w:r>
        <w:t>Se plaignant d'arbitraire, les recourants reprochent à l'instance précédente de n'avoir pas appliqué l'art. 55 RPAPC à la lumière de l'art. 53 RPAPC. Selon eux, l'application conjuguée de ces deux dispositions aurait dû conduire la cour cantonale à interdire la réalisation d'un parking souterrain. Ils prétendent également que le nombre élevé de places réglementaires exigé par le projet litigieux serait incompatible avec la zone, ce qui attesterait de la démesure des constructions envisagées.</w:t>
      </w:r>
    </w:p>
    <w:p>
      <w:r>
        <w:rPr>
          <w:b/>
        </w:rPr>
        <w:t>E. 4.1</w:t>
      </w:r>
    </w:p>
    <w:p>
      <w:r>
        <w:t>Selon l'art. 53 RPAPC, la zone du village B, située dans les abords immédiats de la zone du village A, sera caractérisée par l'intégration harmonieuse des bâtiments nouveaux dans un site marqué par le caractère villageois des constructions existantes. L'affectation des bâtiments principaux est réservée à l'habitation et à des activités qui ne sont pas gênantes pour le voisinage et ne générant qu'un besoin très restreint en places de stationnement. L'art. 55 RPAPC prévoit que le nombre de places de parc sera d'une place et demie par unité d'habitation et d'une demi-place de stationnement par place de travail (al. 1). Elles sont réalisées exclusivement le long de la rue de quartier (al. 2). La moitié des places de stationnement exigées seront prévues dans des couverts (al. 3).</w:t>
      </w:r>
    </w:p>
    <w:p>
      <w:r>
        <w:rPr>
          <w:b/>
        </w:rPr>
        <w:t>E. 4.2</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Les griefs de violation du droit cantonal sont soumis à des exigences de motivation accrues ( art. 106 al. 2 LTF ).</w:t>
      </w:r>
    </w:p>
    <w:p>
      <w:r>
        <w:rPr>
          <w:b/>
        </w:rPr>
        <w:t>E. 4.3</w:t>
      </w:r>
    </w:p>
    <w:p>
      <w:r>
        <w:t>En l'espèce, le Tribunal cantonal a jugé que l'art. 55 RPAPC n'interdit pas la réalisation d'un parking souterrain dans la zone du village B. Se fondant à cet égard sur les explications de la municipalité, la cour cantonale a retenu que le but de cette disposition est d'éviter qu'une parcelle soit entamée par la réalisation de stationnements à l'intérieur de son périmètre, au détriment d'espaces verts; selon elle, l'aménagement d'un parking souterrain répond à cet objectif, sans de surcroît entraîner des nuisances plus importantes, pour les voisins, que celles qui émaneraient de places extérieures sous couvert, dont cet ouvrage permet au demeurant de réduire le nombre. Le Tribunal cantonal a par ailleurs retenu que la création d'un parking souterrain de neuf places, ajoutés aux neuf emplacements prévus en surface, n'induisait pas un dépassement du nombre de stationnements fixé par l'art. 55 al. 1 RPAPC, à savoir un emplacement et demi pour chaque unité de logement. Les juges cantonaux ont enfin estimé que le texte de l'art. 55 RPAPC n'excluait pas explicitement une telle construction enterrée.</w:t>
      </w:r>
    </w:p>
    <w:p>
      <w:r>
        <w:rPr>
          <w:b/>
        </w:rPr>
        <w:t>E. 4.4</w:t>
      </w:r>
    </w:p>
    <w:p>
      <w:r>
        <w:t>Les recourants contestent cette appréciation. Selon eux, l'art. 55 RPAPC devrait être appliqué à la lumière de l'art. 53 RPAPC, ce que le Tribunal cantonal aurait omis de faire. Si l'art. 53 RPAPC définit certes la destination de la zone du village B (cf. titre marginal) et s'applique à ce titre au projet litigieux, on ne saurait pas pour autant en déduire que la réalisation des dix-huit places de stationnement, dont nécessitent les bâtiments d'habitation envisagés, serait contraire à l'exigence d'un besoin très restreint de places de parc au sens de cette disposition. Il n'est en effet pas patent que cette exigence concerne aussi les bâtiments d'habitation; on peut à cet égard, à rigueur de texte - comme le suggère la commune - se demander s'il ne s'agit pas uniquement d'un élément de définition des autres activités conformes à l'affectation de la zone. Quoi qu'il en soit, il s'agit d'une notion indéterminée dont les recourants ne sauraient en tant que telle rien déduire, dès lors que celle-ci a été concrétisée par le législateur communal à l'art. 55 al. 1 RPAPC. Or, dans la mesure où le caractère réglementaire des bâtiments d'habitation, en eux-mêmes, n'est à ce stade pas discuté - pas plus d'ailleurs que devant l'instance précédente -, il n'apparaît pas d'emblée évident qu'un quota de places de stationnement conforme à la règle de calcul de l'art. 55 al. 1 RPAPC serait contraire à l'affectation de la zone.</w:t>
      </w:r>
    </w:p>
    <w:p>
      <w:r>
        <w:rPr>
          <w:b/>
        </w:rPr>
        <w:t>E. 4.5</w:t>
      </w:r>
    </w:p>
    <w:p>
      <w:r>
        <w:t>Il faut concéder aux recourants qu'une interprétation littérale de l'art. 55 RPAPC imposerait, à première vue, la réalisation en surface de l'ensemble des places de stationnement requises par le projet. Le résultat auquel est parvenu la cour cantonale en autorisant la réalisation d'un souterrain n'en est pas pour autant arbitraire. En effet, avec la municipalité, suivie en cela par le Tribunal cantonal, force est de reconnaître qu'un parking souterrain permet en l'occurrence non seulement de respecter - on l'a vu - les exigences de l'art. 55 al. 1 RPAPC, mais également de minimiser le nombre d'emplacements en surface, ce qui n'apparaît pas nécessairement contraire à la destination de la zone (cf. art. 53 RPAPC). Cet ouvrage permet par ailleurs - comme l'a souligné l'instance précédente - de préserver les espaces verts de la parcelle concernée. Il n'apparaît par ailleurs pas non plus que le caractère souterrain de cette construction porterait atteinte au caractère villageois de la zone (cf. art. 53 RPAPC), ce que les recourants ne soutiennent d'ailleurs que de façon sommaire, évoquant un prétendu non-respect de l'esprit de la zone, sans autre forme de précision, en dépit des exigences de motivation des art. 42 al. 2 et 106 al. 2 LTF. Il est enfin douteux qu'une application littérale stricte de l'art. 55 RPAPC aurait condamné le projet dans son ensemble, comme le prétendent les recourants. A les comprendre, le quartier ne permettrait pas d'accueillir en surface le nombre de places nécessaires à la réalisation du projet (dix-huit), ce qui attesterait de son caractère surdimensionné et contraire à la zone. Les recourants ne pointent cependant aucun élément permettant d'appuyer leurs assertions ni ne prétendent que l'état de fait serait lacunaire sur ce point, alors que cette démonstration leur incombe (art. 42 al. 2 et 106 al. 2 LTF).</w:t>
      </w:r>
    </w:p>
    <w:p>
      <w:r>
        <w:rPr>
          <w:b/>
        </w:rPr>
        <w:t>E. 4.6</w:t>
      </w:r>
    </w:p>
    <w:p>
      <w:r>
        <w:t>En définitive, si l'interprétation municipale de l'art. 55 RPAPC, confirmée par l'arrêt attaqué, se heurte certes à une interprétation littérale stricte du texte de cette disposition, le résultat auquel est parvenue la cour cantonale n'est pas insoutenable; même si une autre solution eût été possible, celle finalement adoptée par le Tribunal cantonal résiste encore au grief d'arbitraire, qui doit partant être écarté.</w:t>
      </w:r>
    </w:p>
    <w:p>
      <w:r>
        <w:rPr>
          <w:b/>
        </w:rPr>
        <w:t>E. 5</w:t>
      </w:r>
    </w:p>
    <w:p>
      <w:r>
        <w:t>Selon les recourants, l'entrée en vigueur, le 1er mai 2014, des modifications de la LAT du 15 juin 2012, respectivement le surdimensionnement de la zone à bâtir communale identifié sur cette base, constituerait à elle seule, à l'instar de l'entrée en force de l' art. 75b Cst. - relatif à l'interdiction des résidences secondaires -, une modification sensible des circonstances imposant un réexamen du plan d'affectation conformément à l' art. 21 al. 2 LAT . A suivre les recourants, la nécessité de procéder à cet examen préjudiciel commanderait en outre d'interdire le projet en application de l'art. 77 al. 1 LATC, disposition cantonale assortissant, en substance, les plans en cours d'élaboration d'un effet anticipé.</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et que l'intérêt public au maintien des restrictions imposées aux propriétaires concernés par la planification pourrait avoir disparu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127 I 103 consid. 6b p. 105; THIERRY TANQUEREL, Commentaire pratique LAT: Planifier l'affectation, 2016, n. 44 et 45 ad art. 21 LAT ; WALDMANN/HÄNNI, Raumplanungsgesetz, 2006, n. 15 ad art. 21 LAT et les arrêts cités). Cette disposition tend à assurer à la planification une certaine stabilité, sans laquelle les plans d'aménagement ne peuvent remplir leur fonction ( ATF 128 I 190 consid. 4.2 p. 198 et les arrêts cités; arrêt 1C_387/2016 du 1er mai 2017 consid. 4.2). L' 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p. 29 et la référence à PETER KARLEN, Stabilität und Wandel in der Zonenplanung, PBG-aktuell 4/1994 p. 8 ss; arrêts 1C_40/2016 du 5 octobre 2016 consid. 3.1; 1C_307/2014 du 7 avril 2015 consid. 3.1; cf. THIERRY TANQUEREL, op. cit., n. 33 s. ad 21 LAT; LUKAS BÜHLMANN, Gemeinden müssen ihre Nutzungspläne überprüfen, in VLP-ASPAN Inforaum, 1/2017, p. 18 s.).</w:t>
      </w:r>
    </w:p>
    <w:p>
      <w:r>
        <w:rPr>
          <w:b/>
        </w:rPr>
        <w:t>E. 5.2</w:t>
      </w:r>
    </w:p>
    <w:p>
      <w:r>
        <w:t>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(cf. arrêt 1C_387/2016 du 1er mai 2017 consid. 4.4). En effet, si le régime transitoire prévu par la novelle du 15 juin 2012, à l' art. 38a al. 2 LAT , interdit de façon immédiate l'extension de la zone à bâtir du canton, dans l'attente de l'adoption de plans directeurs conformes au nouveau droit (cf. ATF 141 II 393 consid. 3 p. 399 s.), il ne prohibe pas, dans cet intervalle, la mise en oeuvre de planifications d'affectation existantes conformes à la LAT (cf. arrêt 1C_461/2015 du 9 décembre 2015 consid. 4.2; dans ce sens, voir également BOVAY/KILANI, Le contrôle incident des plans d'affectation lors de la procédure de permis de construire, in RDAF 2016 I p. 48); il ne définit pas non plus précisément quelles parcelles seront concernées par le redimensionnement de la zone à bâtir, choix qui relève dans une large mesure du pouvoir d'appréciation des autorités locales de planification (cf. art. 2 al. 3 LAT et art. 2 et 3 OAT ; arrêts 1C_387/2016 du 1 er mai 2016 consid. 4.4; 1C_276/2015 du 29 avril 2015 consid. 3,1; s'agissant de l'autonomie des communes vaudoises en matière de planification, voir arrêt 1C_424/2014 du 26 mai 2015 consid. 4.1.1 et les références). Dès lors,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deuxième étape (cf. ATF 140 II 25 consid. 3.1 p. 29; arrêt 1C_307/2014 du 7 avril 2015 consid. 3).</w:t>
      </w:r>
    </w:p>
    <w:p>
      <w:r>
        <w:rPr>
          <w:b/>
        </w:rPr>
        <w:t>E. 5.3</w:t>
      </w:r>
    </w:p>
    <w:p>
      <w:r>
        <w:t>En l'occurrence, la cour cantonale a rappelé que, d'après sa propre jurisprudence, les modifications de la LAT du 15 juin 2012 ne remettent a priori pas en cause le droit des propriétaires d'obtenir un permis de construire pour un projet conforme au plan en vigueur. Le Tribunal cantonal en a déduit que l'effet anticipé des plans prévu par l'art. 77 al. 1 LATC ne bénéficiait pas à l'adaptation de la planification communale rendue nécessaire, aux dires des recourants, par la récente révision de la loi fédérale. En jugeant ainsi que le projet litigieux pouvait être autorisé en application de la planification d'affectation en vigueur, il est vrai que l'instance précédente n'a pas formellement examiné les conditions d'un contrôle incident - point qui n'était au demeurant pas soulevé devant elle, mais que le Tribunal fédéral revoit néanmoins librement (cf. ATF 142 I 155 consid. 4.4.3 p. 156) -, au mieux en a-t-elle implicitement nié la réalisation. Toutefois, en entérinant le caractère constructible de la parcelle en cause, la solution à laquelle aboutit l'arrêt attaqué n'apparaît pas contraire au droit fédéral. A cet égard, c'est à tort que les recourants déduisent de l' ATF 140 II 25 que l'entrée en vigueur de l' art. 75b Cst. constituerait à elle seule un changement sensible des circonstances au sens de l' art. 21 al. 2 LAT et qu'il devrait, par analogie, en être de même de la novelle du 15 juin 2012, ce qui justifierait, à leurs yeux, un réexamen du caractère constructible de la parcelle en cause. En effet, dans l' ATF 140 II 25 , l'adaptation de la planification de la Commune de Silvaplana - commune dépassant le plafond de 20% de résidences secondaires - s'imposait au vu des réserves en zone à bâtir constituées en prévision de la construction future de telles résidences, que l'adoption de l' art. 75b Cst. - d'application immédiate - a, selon toute vraisemblance, rendues superflues (cf. ATF 140 II 25 consid. 4.3 p. 31). En outre, la décision attaquée concernait un secteur périphérique, seulement partiellement construit et équipé, qui n'était pas immédiatement constructible faute de plan de quartier, de sorte qu'il se prêtait à un éventuel redimensionnement de la zone à bâtir (consid. 4.4 p. 31). Dans ces conditions cumulatives, un contrôle préalable de la zone à bâtir s'imposait avant d'ouvrir une procédure de plan de quartier et de remembrement parcellaire dans le secteur. Il n'en va en revanche pas de même dans le cas particulier. En effet, hormis le surdimensionnement de la surface à bâtir communale, les recourants n'avancent aucun élément réellement convaincant justifiant l'ouverture d'un contrôle incident et propre à remettre en cause le caractère constructible de la parcelle concernée. On ne peut en particulier aboutir à la conclusion, au regard des plans versés au dossier, qu'une exclusion du bien-fonds en cause de la zone à bâtir entrerait sérieusement en ligne de compte. Cette parcelle se situe certes à l'extrémité sud de la zone du Village B; il n'en demeure cependant pas moins qu'elle est bordée de toutes parts de terrains construits - que ceux-ci soient classés en zone d'habitation individuelle, au sud, ou en zone du village B, pour le surplus - de sorte qu'il ne ferait a priori guère de sens d'en exclure toute construction; il en irait en revanche, à titre d'exemple, différemment - un réexamen du plan se justifiant alors (première étape) - d'une petite zone constructible isolée ne répondant a priori pas aux exigences de densification et de développement du bâti vers l'intérieur (cf. art. 1 et 3 LAT ; voir également art. 24 ss LAT ; à ce sujet, cf. arrêt 1C_636/2015 du 26 mai 2016, consid. 2.3.2). On ne saurait pas non plus réserver un écho favorable aux critiques liées au prétendu manque d'équipement (cf. art. 19 LAT ) dont souffrirait cette parcelle; les recourants ne fournissent à cet égard aucune explication ni ne pointent un quelconque élément du dossier susceptible d'appuyer leur propos, au mépris des exigences de motivation des art. 42 al. 2 et 106 al. 2 LTF. Il en va enfin de même des critiques formulées en lien avec l'âge de la planification, entrée en vigueur en 2002. Outre que l'horizon des quinze ans prévus par l'art. 15al. 1 LAT n'était pas atteint lors du dépôt de la demande d'autorisation, intervenue en 2014, les recourants - qui ne se sont au demeurant pas prévalus de cet élément dans leurs recours cantonaux - ne démontrent pas que les prévisions et les motifs ayant présidé à l'adoption de cette planification s'avéreraient inexacts; ils ne prétendent en particulier pas que la création d'une douzaine d'unités de logement, prévue par le projet litigieux, ne répondrait pas, dans le contexte actuel, aux besoins de la collectivité.</w:t>
      </w:r>
    </w:p>
    <w:p>
      <w:r>
        <w:rPr>
          <w:b/>
        </w:rPr>
        <w:t>E. 5.4</w:t>
      </w:r>
    </w:p>
    <w:p>
      <w:r>
        <w:t>Puisque les conditions d'un contrôle incident de la planification au sens de l' art. 21 al. 2 LAT ne sont pas réalisées, le grief tiré d'une application arbitraire de l'art. 77 al. 1 LATC tombe également à faux. Cette disposition - intitulée Plans et règlements en voie d'élaboration - prévoit en effet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Or, comme on l'a vu, rien ne permet, à ce stade, de conclure que la parcelle en cause devrait éventuellement être rendue à la zone agricole, de sorte que l'évolution souhaitée pour le quartier n'apparaît pas indéniablement compromise par le projet litigieux. Les recourants ne prétendent en outre pas qu'une nouvelle planification communale tendant à la réduction de la zone à bâtir serait actuellement en traitement auprès des autorités compétentes ni, a fortiori , que cette révision aurait atteint le degré de maturité exigé par l'art. 77 LATC pour déployer un effet anticipé (à ce sujet, cf. BENOÎT BOVAY ET AL., Droit fédéral et vaudois de la construction, 4e éd., 2010, n. 2.2.4). Il s'ensuit qu'indépendamment de la question de savoir si l'art. 77 al. 1 LATC revêt, comme l'a jugé la cour cantonale, un caractère strictement potestatif - ce que contestent les recourants -, la solution consacrée par l'arrêt attaqué n'est sur ce point pas arbitraire dans son résultat.</w:t>
      </w:r>
    </w:p>
    <w:p>
      <w:r>
        <w:rPr>
          <w:b/>
        </w:rPr>
        <w:t>E. 5.5</w:t>
      </w:r>
    </w:p>
    <w:p>
      <w:r>
        <w:t>Il s'ensuit qu'entièrement mal fondé le grief tiré d'une violation de l' art. 21 al. 2 LAT en lien avec une application arbitraire de l'art. 77 al. 1 LATC doit être écarté.</w:t>
      </w:r>
    </w:p>
    <w:p>
      <w:r>
        <w:rPr>
          <w:b/>
        </w:rPr>
        <w:t>E. 6</w:t>
      </w:r>
    </w:p>
    <w:p>
      <w:r>
        <w:t>Les considérants qui précèdent conduisent au rejet du recours dans la mesure de sa recevabilité aux frais des recourants, qui succombent ( art. 65 et 66 al. 1 et 5 LTF ). H.________ Sàrl, qui a agi par l'intermédiaire d'un avocat, a droit à des dépens ( art. 68 al. 1 LTF ). Il n'y a en revanche pas lieu d'allouer des dépens à F.________ et G.________, qui ont procédé sans avocat ( art. 68 al. 1 et 2 LTF ), ni à la Municipalité de Bremblens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