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1C_326/2013 vom 28. Mai 2013</w:t>
      </w:r>
    </w:p>
    <w:p>
      <w:r>
        <w:t>Bundesgericht, 2013-05-28, DE</w:t>
      </w:r>
    </w:p>
    <w:p>
      <w:r>
        <w:rPr>
          <w:b/>
        </w:rPr>
        <w:t xml:space="preserve">Quelle: </w:t>
      </w:r>
      <w:r>
        <w:t>https://mcp.opencaselaw.ch/entscheid/bger_1C_326_2013</w:t>
      </w:r>
    </w:p>
    <w:p>
      <w:r>
        <w:t>FR: TF 1C_326/2013 du 28 mai 2013</w:t>
      </w:r>
    </w:p>
    <w:p>
      <w:r>
        <w:t>IT: TF 1C_326/2013 del 28 maggio 2013</w:t>
      </w:r>
    </w:p>
    <w:p>
      <w:pPr>
        <w:pStyle w:val="Heading2"/>
      </w:pPr>
      <w:r>
        <w:t>Erwägungen</w:t>
      </w:r>
    </w:p>
    <w:p>
      <w:r>
        <w:rPr>
          <w:b/>
        </w:rPr>
        <w:t>E. 1</w:t>
      </w:r>
    </w:p>
    <w:p>
      <w:r>
        <w:t>Das Bundesgericht hat die vorinstanzlichen Akten beigezogen. Dem entsprechenden Verfahrensantrag (Beschwerde S. 6 Ziff. 13) ist damit Genüge getan.</w:t>
      </w:r>
    </w:p>
    <w:p>
      <w:r>
        <w:rPr>
          <w:b/>
        </w:rPr>
        <w:t>E. 2</w:t>
      </w:r>
    </w:p>
    <w:p>
      <w:r>
        <w:t>Wie das Bundesgericht bereits im Urteil vom 3. Oktober 2012 (E. 1) dargelegt hat, wurde die Beschwerdeführerin 1, vormals eine Gesellschaft mit Sitz in X.________/FL, im liechtensteinischen Öffentlichkeitsregister gelöscht. Existiert sie demnach nicht mehr, ist sie nicht parteifähig. Insoweit kann auf die Beschwerde von vornherein nicht eingetreten werden.</w:t>
      </w:r>
    </w:p>
    <w:p>
      <w:r>
        <w:rPr>
          <w:b/>
        </w:rPr>
        <w:t>E. 3.1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3.2</w:t>
      </w:r>
    </w:p>
    <w:p>
      <w:r>
        <w:t>Es geht hier um die Übermittlung von Informationen aus dem Geheimbereich und damit ein Sachgebiet, bei dem die Beschwerde nach Art. 84 Abs. 1 BGG insoweit möglich ist. Es stellt sich die Frage, ob ein besonders bedeutender Fall gegeben sei.</w:t>
      </w:r>
    </w:p>
    <w:p>
      <w:r>
        <w:t>Die Beschwerdeführer bringen vor, das zuständige Wiener Gericht habe die Bewilligung für die Beschlagnahme von Bankunterlagen erteilt. Es habe die Bewilligung befristet. Die Bundesanwaltschaft habe die Bankunterlagen nach Ablauf der Befristung erhoben, was unzulässig sei. Die Beschwerdeführer berufen sich auf Art. II Abs. 1 des Vertrags vom 13. Juni 1972 zwischen der Schweizerischen Eidgenossenschaft und der Republik Österreich über die Ergänzung des Europäischen Übereinkommens über die Rechtshilfe in Strafsachen und die Erleichterung seiner Anwendung (Zusatzvertrag; SR 0.351.916.32). Kann einem Ersuchen um Beschlagnahme von Gegenständen oder Durchsuchung keine Ausfertigung oder beglaubigte Abschrift der richterlichen Anordnung beigefügt werden, so genügt nach dieser Bestimmung die Erklärung der zuständigen Justizbehörde, dass die für diese Massnahme erforderlichen Voraussetzungen nach dem im ersuchenden Staat geltenden Recht vorliegen. Die Beschwerdeführer machen geltend, daraus ergebe sich, dass die Erhebung von Bankunterlagen eine nach dem Recht des ersuchenden Staates gültige richterliche Anordnung voraussetze. Insoweit gehe es um eine Grundsatzfrage.</w:t>
      </w:r>
    </w:p>
    <w:p>
      <w:r>
        <w:t>Die Vorinstanz erwägt (angefochtener Entscheid E. 5.2 S. 12 f.), Art. 14 des hier anwendbaren Europäischen Übereinkommens vom 20. April 1959 über die Rechtshilfe in Strafsachen (EUeR; SR 0.351.1) sehe - im Gegensatz zu Art. 76 lit. c IRSG (SR 351.1) - eine Bescheinigung über die Zulässigkeit der Zwangsmassnahmen nach dem Recht des ersuchenden Staates nicht vor. Aus Art. II Abs. 1 des Zusatzvertrags ergebe sich nichts zugunsten der Beschwerdeführer. Dieser Vertrag solle die Rechtshilfe zwischen den Vertragsparteien erleichtern und nicht erschweren. Die Vorinstanz verweist insoweit auf Erwägung 3 des bundesgerichtlichen Urteils 1A.274/1999 vom 25. Februar 2000.</w:t>
      </w:r>
    </w:p>
    <w:p>
      <w:r>
        <w:t>Dort entschied das Bundesgericht in einem vergleichbaren Fall ebenso. Zwar betraf das Urteil vom 25. Februar 2000 Art. II Abs. 1 des Vertrags vom 13. November 1969 zwischen der Schweizerischen Eidgenossenschaft und der Bundesrepublik Deutschland über die Ergänzung des Europäischen Rechtshilfeübereinkommens und die Erleichterung seiner Anwendung (SR 0.351.913.61). Diese Bestimmung stimmt mit Art. II Abs. 1 des Zusatzvertrags mit Österreich jedoch inhaltlich weitgehend überein. Die Vorinstanz nimmt deshalb zu Recht an, die Erwägungen im bundesgerichtlichen Urteil vom 25. Februar 2000 könnten ohne Weiteres auf den vorliegenden Fall übertragen werden.</w:t>
      </w:r>
    </w:p>
    <w:p>
      <w:r>
        <w:t>Ist der angefochtene Entscheid danach im Lichte der bundesgerichtlichen Rechtsprechung nicht zu beanstanden, kann dem Fall insoweit keine besondere Bedeutung beigemessen werden.</w:t>
      </w:r>
    </w:p>
    <w:p>
      <w:r>
        <w:t>Eine Verletzung des Anspruchs der Beschwerdeführer auf rechtliches Gehör ( Art. 29 Abs. 2 BV ) und damit eines elementaren Verfahrensgrundsatzes ist nicht auszumachen. Die Vorinstanz hat sich mit den wesentlichen Einwänden auseinandergesetzt und ihren Entscheid hinreichend begründet.</w:t>
      </w:r>
    </w:p>
    <w:p>
      <w:r>
        <w:t>Dass dem Fall sonst wie eine aussergewöhnliche Tragweite zukommen könnte, machen die Beschwerdeführer nicht geltend und ist nicht ersichtlich.</w:t>
      </w:r>
    </w:p>
    <w:p>
      <w:r>
        <w:rPr>
          <w:b/>
        </w:rPr>
        <w:t>E. 4</w:t>
      </w:r>
    </w:p>
    <w:p>
      <w:r>
        <w:t>Auf die Beschwerde wird deshalb nicht eingetreten.</w:t>
      </w:r>
    </w:p>
    <w:p>
      <w:r>
        <w:t>Bei diesem Ausgang des Verfahrens tragen die Beschwerdeführer 2-4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