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326/2009 vom 5. Februar 2010</w:t>
      </w:r>
    </w:p>
    <w:p>
      <w:r>
        <w:t>Bundesgericht, 2010-02-05, DE</w:t>
      </w:r>
    </w:p>
    <w:p>
      <w:r>
        <w:rPr>
          <w:b/>
        </w:rPr>
        <w:t xml:space="preserve">Quelle: </w:t>
      </w:r>
      <w:r>
        <w:t>https://mcp.opencaselaw.ch/entscheid/bger_1C_326_2009</w:t>
      </w:r>
    </w:p>
    <w:p>
      <w:r>
        <w:t>FR: TF 1C 326/2009 du 5 février 2010</w:t>
      </w:r>
    </w:p>
    <w:p>
      <w:r>
        <w:t>IT: TF 1C 326/2009 del 5 febbraio 2010</w:t>
      </w:r>
    </w:p>
    <w:p>
      <w:pPr>
        <w:pStyle w:val="Heading2"/>
      </w:pPr>
      <w:r>
        <w:t>Regeste</w:t>
      </w:r>
    </w:p>
    <w:p>
      <w:r>
        <w:t>Nichtigerklärung der erleicherten Einbürgerung | Bürgerrecht und Ausländerrecht</w:t>
      </w:r>
    </w:p>
    <w:p>
      <w:pPr>
        <w:pStyle w:val="Heading2"/>
      </w:pPr>
      <w:r>
        <w:t>Erwägungen</w:t>
      </w:r>
    </w:p>
    <w:p>
      <w:r>
        <w:rPr>
          <w:b/>
        </w:rPr>
        <w:t>E. 1.1</w:t>
      </w:r>
    </w:p>
    <w:p>
      <w:r>
        <w:t>Das angefochtene Urteil, ein Endentscheid des Bundesverwaltungsgerichts ( Art. 86 Abs. 1 lit. a, Art. 90 BGG ), betrifft die Nichtigerklärung einer erleichterten Einbürgerung gestützt auf Art. 27 Abs. 1 BüG ,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beschwerdelegitimiert ( Art. 89 Abs. 1 BGG ).</w:t>
      </w:r>
    </w:p>
    <w:p>
      <w:r>
        <w:rPr>
          <w:b/>
        </w:rPr>
        <w:t>E. 1.2</w:t>
      </w:r>
    </w:p>
    <w:p>
      <w:r>
        <w:t>Im unaufgefordert eingereichten Schreiben vom 11. August 2009 macht der Beschwerdeführer neue Ausführungen zum Sachverhalt. Nach der Rechtsprechung des Bundesgerichts ist eine Beschwerdeergänzung jedoch nach Ablauf der Beschwerdefrist, auf dem Weg der Replik nur insoweit statthaft, als die Ausführungen in der Vernehmlassung eines anderen Verfahrensbeteiligten dazu Anlass geben (vgl. BGE 135 I 19 E. 2.2 S. 21 mit Hinweisen). Diese Voraussetzung ist vorliegend nicht erfüllt, sodass auf die entsprechenden Vorbringen nicht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1.4</w:t>
      </w:r>
    </w:p>
    <w:p>
      <w:r>
        <w:t>Der Beschwerdeführer rügt die Sachverhaltsfeststellung der Vorinstanz. Es sei nicht zulässig, fast ausschliesslich auf Rechtsschriften bzw. Parteibehauptungen abzustellen. Weiter falle auf, dass nur die Ausführungen des Beschwerdeführers im Rahmen des Eheschutzverfahrens in Frage gestellt würden, nicht aber jene seiner früheren Ehefrau, die sich mehrmals widersprochen habe. Soweit ein Beschwerdeführer die vorinstanzlichen Sachverhaltsfeststellungen beanstandet, kann er nur geltend machen, die Feststellungen seien offensichtlich unrichtig oder beruhten auf einer Rechtsverletzung im Sinne von Art. 95 BGG . Zudem muss die mangelhafte Sachverhaltsfeststellung für den Ausgang des Verfahrens entscheidend sein ( Art. 97 Abs. 1 BGG ). Vorbehalten bleibt die Sachverhaltsberichtigung von Amtes wegen nach Art. 105 Abs. 2 BGG ( BGE 135 III 127 E. 1.5 S. 129 f.; 133 II 249 E. 1.4.3 S. 254 f.; Urteil des Bundesgerichts 1C_412/2008 vom 24. März 2009 E. 2.1, in: URP 2009 S. 188; je mit Hinweisen). Der Beschwerdeführer zeigt nicht in substanziierter Weise auf, welche vorinstanzlichen Sachverhaltsfeststellungen willkürlich sein sollen. Auf seine Rüge ist deshalb nicht einzutreten. Im Übrigen bedeutet allein das Abstellen auf Parteibehauptungen bzw. das Infrage-Stellen gewisser Aussagen noch keine Willkür.</w:t>
      </w:r>
    </w:p>
    <w:p>
      <w:r>
        <w:rPr>
          <w:b/>
        </w:rPr>
        <w:t>E. 2.1</w:t>
      </w:r>
    </w:p>
    <w:p>
      <w:r>
        <w:t>Der Beschwerdeführer ist der Ansicht, sein Anspruch auf rechtliches Gehör ( Art. 29 Abs. 2 BV ) sei verletzt worden, weil er an der Einvernahme 15. Dezember 2006 seiner Ex-Ehefrau nicht habe teilnehmen können.</w:t>
      </w:r>
    </w:p>
    <w:p>
      <w:r>
        <w:rPr>
          <w:b/>
        </w:rPr>
        <w:t>E. 2.2</w:t>
      </w:r>
    </w:p>
    <w:p>
      <w:r>
        <w:t>Wie das Bundesverwaltungsgericht darlegt, wurde dem Einwand des Beschwerdeführers dadurch Rechnung getragen, dass die besagte Einvernahme nicht berücksichtigt wurde. Gemäss der Rechtsprechung des Bundesgerichts liegt keine Gehörsverletzung vor, wenn in einem derartigen Fall die Einvernahme das angefochtene Urteil nicht beeinflusst hat (Urteil 1C_231/2007 vom 14. November 2007 E. 2.3). Es gibt keinen Grund, auf diese Rechtsprechung zurückzukommen. Die Rüge der Gehörsverletzung ist unbegründet.</w:t>
      </w:r>
    </w:p>
    <w:p>
      <w:r>
        <w:rPr>
          <w:b/>
        </w:rPr>
        <w:t>E. 3.1</w:t>
      </w:r>
    </w:p>
    <w:p>
      <w:r>
        <w:t>Der Beschwerdeführer bringt vor, es sei nicht bewiesen, dass er die erleichterte Einbürgerung erschlichen habe ( Art. 41 Abs. 1 BüG ). Er macht in diesem Zusammenhang eine willkürliche Sachverhaltsfeststellung geltend und fügt an, die Beweislast dürfe nicht umgekehrt werden. Schliesslich rügt der Beschwerdeführer, die Vorinstanz habe ihm in willkürlicher Weise unterstellt, von Anfang an keinen Ehewillen gehabt zu haben.</w:t>
      </w:r>
    </w:p>
    <w:p>
      <w:r>
        <w:rPr>
          <w:b/>
        </w:rPr>
        <w:t>E. 3.2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164 f. mit Hinweisen).</w:t>
      </w:r>
    </w:p>
    <w:p>
      <w:r>
        <w:rPr>
          <w:b/>
        </w:rPr>
        <w:t>E. 3.3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Die tatsächliche Vermutung betrifft die Beweiswürdigung. Da sie keine Umkehrung der Beweislast bewirkt, muss der Betroffene nicht den Beweis des Gegenteils erbringen. Vielmehr genügt der Nachweis von Zweifeln an der Richtigkeit der Indizien und der daraus gezogenen Schlussfolgerung. Die Beweislast dafür, dass eine eheliche Gemeinschaft im Sinn von Art. 27 BüG im massgeblichen Zeitpunkt der Gesuchseinreichung und der Einbürgerung nicht oder nicht mehr besteht, liegt deshalb bei der Verwaltung.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somit nicht das Gegenteil beweisen. Es genügt, dass er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165 f. mit Hinweisen).</w:t>
      </w:r>
    </w:p>
    <w:p>
      <w:r>
        <w:rPr>
          <w:b/>
        </w:rPr>
        <w:t>E. 3.4</w:t>
      </w:r>
    </w:p>
    <w:p>
      <w:r>
        <w:t>Zu prüfen ist, ob der Beschwerdeführer im Zeitpunkt der Einbürgerung einen intakten Ehewillen besass und ob er auf das Fortbestehen einer stabilen ehelichen Gemeinschaft vertrauen durfte. Da die Ehegatten bereits am 28. November 2002 eine Trennungsvereinbarung unterzeichneten (d.h. lediglich achteinhalb Monate nach der Einbürgerung) und die Ehefrau sogar schon am 25. Oktober 2002 ein Eheschutzgesuch einreichte, geht das Bundesverwaltungsgericht richtigerweise von der Vermutung aus, dass dies nicht zutraf.</w:t>
      </w:r>
    </w:p>
    <w:p>
      <w:r>
        <w:rPr>
          <w:b/>
        </w:rPr>
        <w:t>E. 3.5</w:t>
      </w:r>
    </w:p>
    <w:p>
      <w:r>
        <w:t>Die Vorinstanz legte weiter dar, die Ex-Ehefrau des Beschwerdeführers habe in ihrem Gesuch um Eheschutz vom 25. Oktober 2002 angegeben, die ersten drei Ehejahre seien eine schöne Zeit gewesen, danach hätte sich ihr Ehemann jedoch verändert. Seit einem Jahr verheimliche er ihr etwas, belüge und beschimpfe sie und sei mitunter aggressiv. In seiner darauf folgenden Vernehmlassung habe der Beschwerdeführer eingeräumt, dass seit einigen Monaten Spannungen in der Ehe bestünden, und habe dies damit erklärt, dass seine Ehefrau stets ihren Willen durchsetzen wolle, dass mit ihr kein Gespräch möglich sei und dass sie zu Unrecht eifersüchtig sei. Daraus schloss die Vorinstanz, dass die Eheschutzakten keine Indizien dafür enthielten, dass der Beschwerdeführer im Zeitpunkt der erleichterten Einbürgerung auf den Fortbestand seiner Ehe vertraute und erst in ihrem weiteren Verlauf diesbezüglich enttäuscht wurde. Die Schuld an der Verschlechterung der Beziehung habe der Beschwerdeführer allein seiner Ehefrau zugeschoben. Seine Vorwürfe liessen sich aber kaum damit in Einklang bringen, dass die Ehegatten über drei Jahre hinweg harmonisch miteinander gelebt hätten. Es sei nicht plausibel, warum die Ehefrau nach der Einbürgerung ihres Ehemannes völlig grundlos ihr Verhalten geändert haben sollte. Mit der in der Vernehmlassung zum Eheschutzbegehren enthaltenen Behauptung des Beschwerdeführers, er habe eine Ehetherapie vorgeschlagen, lasse sich noch nicht auf den tatsächlichen Willen schliessen, die Ehe zu retten. Dagegen sprächen auch die Trennungsvereinbarung und der Umstand, dass er sehr rasch und ohne Einwände der Aufforderung seiner Gattin, die eheliche Wohnung zu verlassen, nachgekommen sei.</w:t>
      </w:r>
    </w:p>
    <w:p>
      <w:r>
        <w:rPr>
          <w:b/>
        </w:rPr>
        <w:t>E. 3.6</w:t>
      </w:r>
    </w:p>
    <w:p>
      <w:r>
        <w:t>Der Beschwerdeführer argumentiert, auch wenn er die Trennungsvereinbarung unterschrieben habe, sei er nicht mit der Trennung einverstanden gewesen. Vielmehr habe er sich eine Versöhnung erhofft. Das Verhalten der Ehefrau komme als Trennungsursache zudem ebenso in Betracht wie das seine.</w:t>
      </w:r>
    </w:p>
    <w:p>
      <w:r>
        <w:rPr>
          <w:b/>
        </w:rPr>
        <w:t>E. 3.7</w:t>
      </w:r>
    </w:p>
    <w:p>
      <w:r>
        <w:t>Mit dieser Darstellung der Ereignisse gelingt es dem Beschwerdeführer nicht aufzuzeigen, weshalb eine angeblich intakte Ehe innerhalb weniger Monate gescheitert sein soll. Das Bundesverwaltungsgericht ist ohne Willkür und ohne eine Beweislastumkehr vorzunehmen davon ausgegangen, die Ausführungen des Beschwerdeführers hätten es nicht als plausibel erscheinen lassen, dass er im Zeitpunkt seiner Erklärung mit der Schweizer Ehepartnerin in einer stabilen ehelichen Gemeinschaft lebte oder dass er die Schwere der ehelichen Probleme nicht erkannt habe. Damit kann offen bleiben, ob die Kritik des Beschwerdeführers zutrifft, die Vorinstanz habe ihm in willkürlicher Weise unterstellt, von Anfang an keinen Ehewillen gehabt zu haben.</w:t>
      </w:r>
    </w:p>
    <w:p>
      <w:r>
        <w:rPr>
          <w:b/>
        </w:rPr>
        <w:t>E. 4</w:t>
      </w:r>
    </w:p>
    <w:p>
      <w:r>
        <w:t>Die Beschwerde ist nach dem Gesagten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