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1C_325/2022 vom 3. November 2023</w:t>
      </w:r>
    </w:p>
    <w:p>
      <w:r>
        <w:t>Bundesgericht, 2023-11-03, DE</w:t>
      </w:r>
    </w:p>
    <w:p>
      <w:r>
        <w:rPr>
          <w:b/>
        </w:rPr>
        <w:t xml:space="preserve">Quelle: </w:t>
      </w:r>
      <w:r>
        <w:t>https://mcp.opencaselaw.ch/entscheid/bger_1C_325_2022</w:t>
      </w:r>
    </w:p>
    <w:p>
      <w:r>
        <w:t>FR: TF 1C_325/2022 du 3 novembre 2023</w:t>
      </w:r>
    </w:p>
    <w:p>
      <w:r>
        <w:t>IT: TF 1C_325/2022 del 3 novembre 2023</w:t>
      </w:r>
    </w:p>
    <w:p>
      <w:pPr>
        <w:pStyle w:val="Heading2"/>
      </w:pPr>
      <w:r>
        <w:t>Erwägungen</w:t>
      </w:r>
    </w:p>
    <w:p>
      <w:r>
        <w:rPr>
          <w:b/>
        </w:rPr>
        <w:t>E. 1.1</w:t>
      </w:r>
    </w:p>
    <w:p>
      <w:r>
        <w:t>Angefochten ist ein kantonal letztinstanzlicher Entscheid, mit dem ein im Rahmen eines verwaltungsgerichtlichen Beschwerdeverfahrens betreffend Verfahrensrecht (Rechtsverweigerung) eröffnetes Ausstandsverfahren unter Kostenauflage abgeschrieben wird. Der Ent-scheid beendet das Verfahren in der Hauptsache weder ganz noch teilweise (in Bezug auf einen Teil der gestellten Begehren oder einen Teil der Streitgenossinnen und -genossen). Es handelt sich mithin nicht um einen Endentscheid im Sinne von Art. 90 BGG und auch nicht um einen Teilentscheid im Sinne von Art. 91 BGG und damit nach der Systematik des Bundesgerichtsgesetzes um einen (selbständig eröffneten) Zwischenentscheid (vgl. BGE 142 III 653 E. 1.1; 141 III 395 E. 2.2).</w:t>
      </w:r>
    </w:p>
    <w:p>
      <w:r>
        <w:rPr>
          <w:b/>
        </w:rPr>
        <w:t>E. 1.2</w:t>
      </w:r>
    </w:p>
    <w:p>
      <w:r>
        <w:t>Der Beschwerdeführer beantragt zwar die Aufhebung des angefochtenen Entscheids und stellt zudem das erwähnte Feststellungsbegehren. Dem Gehalt nach richtet sich seine Beschwerde jedoch einzig gegen die Kostenregelung in diesem Entscheid, mit der ihm die Verfahrenskosten von Fr. 664.-- auferlegt werden. Damit richtet sich die Zulässigkeit der Beschwerde von vornherein nicht nach Art. 92 BGG , sondern nach Art. 93 BGG (vgl. Urteil 1B_491/2018 vom 11. Januar 2019 E. 4; BGE 143 III 416 E. 1.3; 138 III 94 E. 2.3). Massgebend ist dabei dessen Abs. 1. Danach ist die Beschwerde gegen andere selbständig eröffnete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Keine dieser Voraussetzungen ist vorliegend erfüllt. Weder würde die Gutheissung der Beschwerde sofort einen Endentscheid herbeiführen noch ist, namentlich mit Blick auf die im Rahmen von Art. 93 Abs. 3 BGG bestehenden Rechtsschutzmöglichkeiten, ersichtlich, dass dem Beschwerdeführer aufgrund der festgesetzten Höhe der Kosten ein nicht wieder gutzumachender Nachteil entstehen könnte (vgl. Urteil 1B_491/2018 vom 11. Januar 2019 E. 4; BGE 143 III 416 E. 1.3; 138 III 94 E. 2.3 und 2.4). Etwas anderes legt er auch nicht dar. Die Beschwerde erweist sich somit als unzulässig.</w:t>
      </w:r>
    </w:p>
    <w:p>
      <w:r>
        <w:rPr>
          <w:b/>
        </w:rPr>
        <w:t>E. 2</w:t>
      </w:r>
    </w:p>
    <w:p>
      <w:r>
        <w:t>Demnach ist auf die Beschwerde nicht einzutreten.</w:t>
      </w:r>
    </w:p>
    <w:p>
      <w:r>
        <w:t>Bei diesem Verfahrensausgang ist der Beschwerdeführer kostenpflichtig ( Art. 66 Abs. 1 BGG ). Parteientschädigungen sind keine festzusetzen ( Art. 68 BGG ; Art. 1 ff.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