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1C_325/2012 vom 28. Juni 2012</w:t>
      </w:r>
    </w:p>
    <w:p>
      <w:r>
        <w:t>Bundesgericht, 2012-06-28, FR</w:t>
      </w:r>
    </w:p>
    <w:p>
      <w:r>
        <w:rPr>
          <w:b/>
        </w:rPr>
        <w:t xml:space="preserve">Quelle: </w:t>
      </w:r>
      <w:r>
        <w:t>https://mcp.opencaselaw.ch/entscheid/bger_1C_325_2012</w:t>
      </w:r>
    </w:p>
    <w:p>
      <w:r>
        <w:t>FR: TF 1C_325/2012 du 28 juin 2012</w:t>
      </w:r>
    </w:p>
    <w:p>
      <w:r>
        <w:t>IT: TF 1C_325/2012 del 28 giugno 2012</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notamment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renseignements touchant le domaine secret. Toutefois, compte tenu de la nature de la transmission envisagée, portant sur la documentation relative à un compte déterminé, le cas ne revêt en soi aucune importance particulière.</w:t>
      </w:r>
    </w:p>
    <w:p>
      <w:r>
        <w:t>Le recourant soutient que la Cour des plaintes n'aurait pas examiné les arguments qui lui étaient soumis, se contentant de remarques d'ordre général sans tenir compte de la situation particulière du recourant. Ainsi les griefs relatifs à la motivation de la demande d'entraide et au respect du principe de la proportionnalité n'auraient pas été traités, en violation du droit d'être entendu. Cela ne suffit toutefois pas à faire du présent cas une cause particulièrement importante. En effet, ni une motivation prétendument insuffisante de l'arrêt attaqué, ni une irrégularité formelle de la demande d'entraide ne constituent en soi des vices graves au sens de l' art. 84 LTF . Le recourant ne prétend pas non plus que la Cour des plaintes se serait écartée de la jurisprudence suivie jusque-là, ou que son recours porterait sur une question de principe.</w:t>
      </w:r>
    </w:p>
    <w:p>
      <w:r>
        <w:rPr>
          <w:b/>
        </w:rPr>
        <w:t>E. 2</w:t>
      </w:r>
    </w:p>
    <w:p>
      <w:r>
        <w:t>Faute de porter sur un cas particulièrement important, le recours est dès lors irrecevable.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