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325/2008 vom 30. September 2008</w:t>
      </w:r>
    </w:p>
    <w:p>
      <w:r>
        <w:t>Bundesgericht, 2008-09-30, FR</w:t>
      </w:r>
    </w:p>
    <w:p>
      <w:r>
        <w:rPr>
          <w:b/>
        </w:rPr>
        <w:t xml:space="preserve">Quelle: </w:t>
      </w:r>
      <w:r>
        <w:t>https://mcp.opencaselaw.ch/entscheid/bger_1C_325_2008</w:t>
      </w:r>
    </w:p>
    <w:p>
      <w:r>
        <w:t>FR: TF 1C 325/2008 du 30 septembre 2008</w:t>
      </w:r>
    </w:p>
    <w:p>
      <w:r>
        <w:t>IT: TF 1C 325/2008 del 30 settembre 2008</w:t>
      </w:r>
    </w:p>
    <w:p>
      <w:pPr>
        <w:pStyle w:val="Heading2"/>
      </w:pPr>
      <w:r>
        <w:t>Regeste</w:t>
      </w:r>
    </w:p>
    <w:p>
      <w:r>
        <w:t>annulation de la naturalisation facilitée | Droit de cité et droit des étrangers</w:t>
      </w:r>
    </w:p>
    <w:p>
      <w:pPr>
        <w:pStyle w:val="Heading2"/>
      </w:pPr>
      <w:r>
        <w:t>Erwägungen</w:t>
      </w:r>
    </w:p>
    <w:p>
      <w:r>
        <w:rPr>
          <w:b/>
        </w:rPr>
        <w:t>E. 1</w:t>
      </w:r>
    </w:p>
    <w:p>
      <w:r>
        <w:t>L'arrêt entrepris émane du Tribunal administratif fédéral et concerne l'annulation de la naturalisation facilitée accordée à la recourante; il peut faire l'objet d'un recours en matière de droit public devant la cour de céans (art. 82 al. 1 let. a et 86 al. 1 let. a LTF, art. 29 al. 1 let . f RTF). Le motif d'exclusion de l' art. 83 let. b LTF n'entre pas en ligne de compte, s'agissant en l'espèce de naturalisation facilitée et non pas de naturalisation ordinaire (arrêt 1C_85/2007 du 6 septembre 2007 consid. 2). Pour le surplus, la recourante a la qualité pour recourir au sens de l' art. 89 al. 1 LTF . Les autres conditions de recevabilité du recours sont réunies, de sorte qu'il y a lieu d'entrer en matière.</w:t>
      </w:r>
    </w:p>
    <w:p>
      <w:r>
        <w:rPr>
          <w:b/>
        </w:rPr>
        <w:t>E. 2</w:t>
      </w:r>
    </w:p>
    <w:p>
      <w:r>
        <w:t>En vertu de l'art. 27 al. 1 de la loi fédérale du 29 septembre 1952 sur l'acquisition et la perte de la nationalité suisse (LN; RS 141.0),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 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 La nature potestative de l' art. 41 al. 1 LN confère une certaine latitude à l'autorité compétente, qui doit toutefois s'abstenir de tout abus dans l'exercice de cette liberté. Commet un abus de son pouvoir d'appréciation l'autorité qui se fonde sur des critères inappropriés, ne tient pas compte de circonstances pertinentes ou rend une décision arbitraire, contraire au but de la loi ou au principe de la proportionnalité ( ATF 130 III 176 consid. 1.2 p. 180).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non seulement en raison de son devoir de collaborer à l'établissement des faits ( art. 13 al. 1 let. a PA ), mais également dans son propre intérêt. S'agissant d'une présomption de fait, qui ressortit à l'appréciation des preuves et ne modifie pas le fardeau de la preuve, il suffit que l'administré parvienne à faire admettre l'existence d'une possibilité raisonnable qu'il n'ait pas menti en déclarant former une communauté stable avec son conjoint ( ATF 130 II 482 consid. 3.2 p. 486).</w:t>
      </w:r>
    </w:p>
    <w:p>
      <w:r>
        <w:rPr>
          <w:b/>
        </w:rPr>
        <w:t>E. 3</w:t>
      </w:r>
    </w:p>
    <w:p>
      <w:r>
        <w:t>Le Tribunal administratif fédéral a retenu que les conditions formelles de l'annulation de la naturalisation facilitée prévues par l' art. 41 al. 1 LN étaient réalisées, dès lors que cette mesure avait été ordonnée par l'autorité compétente avant l'échéance du délai péremptoire de cinq ans fixé dans cette disposition, avec l'assentiment de l'autorité du canton d'origine. La recourante ne conteste pas à proprement parler l'arrêt attaqué sur ce point. Avec raison; il suffit en effet que la décision d'annulation ait été rendue dans les cinq ans suivant l'octroi de la naturalisation facilitée nonobstant le dépôt d'un recours doté de l'effet suspensif (cf. arrêt 1C_231/2007 du 14 novembre 2007 consid. 4). La recourante semble vouloir reprocher à l'Office fédéral des migrations et au Tribunal administratif fédéral le temps excessivement long pris pour statuer. Elle ne se plaint toutefois pas formellement d'une violation du principe de la célérité. La recevabilité du recours sur ce point au regard des exigences de motivation telles qu'elles découlent des art. 42 al. 2 et 106 al. 2 LTF peut demeurer indécise. Une durée excessive de la procédure pourrait éventuellement conduire le Tribunal fédéral à constater un retard injustifié, mais elle ne saurait en aucun cas aboutir à renoncer à ordonner l'annulation de la naturalisation facilitée dans la mesure où le délai péremptoire de cinq ans est respecté (cf. arrêt 5A.11/2005 du 15 septembre 2005 consid. 3). Pour autant que le grief soit suffisamment motivé, il est infondé.</w:t>
      </w:r>
    </w:p>
    <w:p>
      <w:r>
        <w:rPr>
          <w:b/>
        </w:rPr>
        <w:t>E. 4</w:t>
      </w:r>
    </w:p>
    <w:p>
      <w:r>
        <w:t>La recourante s'oppose en vain à l'annulation de la naturalisation facilitée qui lui avait été accordée le 26 juillet 2000. Le bref laps de temps entre la déclaration de vie commune, l'octroi de la naturalisation facilitée, la consultation d'un avocat pour ouvrir action en divorce et l'introduction commune d'une demande en divorce pouvait amener le Tribunal administratif fédéral à présumer que le couple n'envisageait déjà plus une vie future partagée lors de la signature de cette déclaration et que la stabilité du mariage n'existait plus à ce moment. Il pouvait également voir un élément supplémentaire propre à renforcer cette présomption dans le fait que les époux ont signé en date du 28 décembre 1998 une convention de séparation dans laquelle ils fixaient les modalités de leur séparation et s'autorisaient mutuellement à entretenir des relations extra-conjugales sans devoir s'attendre à l'opposition de l'autre. Même si la séparation ne devait avoir effectivement duré que quelques jours, la signature de cette convention, dont la recourante avait tu l'existence lors de la demande de naturalisation facilitée, constitue un indice supplémentaire important que le couple ne vivait déjà plus à ce moment en parfaite harmonie. La recourante tente en vain de renverser cette présomption en soutenant que leur séparation définitive serait due aux difficultés qu'elle aurait rencontrées ultérieurement à concevoir des enfants, aggravées par les problèmes de violence conjugale et les comportements adultérins de son ex-époux. Ces événements, pour autant qu'ils puissent être tenus pour établis au regard des pièces versées au dossier, sont postérieurs à la déclaration de vie commune; s'ils tendent à confirmer les tensions au sein du couple et peuvent avoir précipité leur séparation définitive, ils ne sont pas de nature à renverser la présomption découlant notamment de la déclaration de séparation signée en décembre que la communauté de vie ne revêtait pas la stabilité requise lors de la signature de la déclaration de vie commune. La recourante n'a fait entendre aucun témoin ou produit aucune pièce qui aurait permis de se prononcer sur l'intensité du lien conjugal existant entre les époux durant cette période. Dans ces circonstances, l'Office fédéral des migrations n'a pas apprécié les faits ressortant du dossier de manière arbitraire en admettant que la recourante et son ex-époux formaient certes une communauté de vie effective au moment de la signature de la déclaration de vie commune mais qui ne comportait pas la stabilité requise par la jurisprudence. Les conditions d'application de l' art. 41 LN sont donc réunies et l'Office des migrations n'a nullement abusé de son pouvoir d'appréciation en ordonnant l'annulation de la naturalisation facilitée accordée à la recourante. Le Tribunal administratif fédéral n'a pas davantage violé le droit fédéral en confirmant cette décision.</w:t>
      </w:r>
    </w:p>
    <w:p>
      <w:r>
        <w:rPr>
          <w:b/>
        </w:rPr>
        <w:t>E. 5</w:t>
      </w:r>
    </w:p>
    <w:p>
      <w:r>
        <w:t>Le recours doit par conséquent être rejeté aux frais de la recourante qui succombe (art. 65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