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1C_324/2007 vom 18. Dezember 2007</w:t>
      </w:r>
    </w:p>
    <w:p>
      <w:r>
        <w:t>Bundesgericht, 2007-12-18, DE</w:t>
      </w:r>
    </w:p>
    <w:p>
      <w:r>
        <w:rPr>
          <w:b/>
        </w:rPr>
        <w:t xml:space="preserve">Quelle: </w:t>
      </w:r>
      <w:r>
        <w:t>https://mcp.opencaselaw.ch/entscheid/bger_1C_324_2007</w:t>
      </w:r>
    </w:p>
    <w:p>
      <w:r>
        <w:t>FR: TF 1C_324/2007 du 18 décembre 2007</w:t>
      </w:r>
    </w:p>
    <w:p>
      <w:r>
        <w:t>IT: TF 1C_324/2007 del 18 dicembre 2007</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w:t>
      </w:r>
    </w:p>
    <w:p>
      <w:r>
        <w:rPr>
          <w:b/>
        </w:rPr>
        <w:t>E. 2</w:t>
      </w:r>
    </w:p>
    <w:p>
      <w:r>
        <w:t>Nach dem Bundesgerichtsgesetz ist die Beschwerde zulässig gegen Endentscheide, die das Verfahren abschliessen ( Art. 90 BGG ), oder gegen Teilentscheide im Sinne von Art. 91 BGG . Das hier angefochtene Urteil des kantonalen Verwaltungsgerichts schliesst das Verfahren nicht ab, sondern lautet auf Rückweisung zu weiterer Sachverhaltsabklärung, und ist daher als Zwischenentscheid zu qualifizieren.</w:t>
      </w:r>
    </w:p>
    <w:p>
      <w:r>
        <w:rPr>
          <w:b/>
        </w:rPr>
        <w:t>E. 2.1</w:t>
      </w:r>
    </w:p>
    <w:p>
      <w:r>
        <w:t>Gegen Zwischenentscheide, die nicht die Zuständigkeit oder Ausstandsfragen betreffen ( Art. 92 Abs. 1 und 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Die Beschwerdeführer beanstanden zum einen, dass das Verwaltungsgericht es unterlassen habe, den Entscheid der Vorinstanz vom 7. Oktober 2005 aufzuheben. Es ist nicht ersichtlich, inwiefern ihnen dadurch ein Nachteil entstehen könnte, ergibt sich doch aus dem angefochtenen Entscheid klar, dass das Baudepartement nach Abschluss der zusätzlichen Sachverhaltsabklärungen verpflichtet ist, einen neuen Entscheid zu fällen.</w:t>
      </w:r>
    </w:p>
    <w:p>
      <w:r>
        <w:rPr>
          <w:b/>
        </w:rPr>
        <w:t>E. 2.3</w:t>
      </w:r>
    </w:p>
    <w:p>
      <w:r>
        <w:t>Weiter beanstanden die Beschwerdeführer eine willkürliche Verlegung der amtlichen und ausseramtlichen Kosten.</w:t>
      </w:r>
    </w:p>
    <w:p>
      <w:r>
        <w:t>Unter dem bisherigen Recht stellte die Regelung der Kosten- und Entschädigungsfolgen in einem Entscheid, mit dem die Sache zu neuer Entscheidung an eine untere Instanz zurückgewiesen wurde, ihrerseits einen Zwischenentscheid dar, der keinen nicht wieder gutzumachenden Nachteil zur Folge hat. Das galt gemäss ausdrücklicher Vorschrift für die Verwaltungsgerichtsbeschwerde ( Art. 101 lit. b OG ) und entsprach auch der Praxis zu Art. 87 Abs. 2 OG für die staatsrechtliche Beschwerde ( BGE 131 III 404 E. 3.3 S. 407 ; 122 I 39 E. 1a/aa und bb S. 41 f.). Diese Praxis wurde seither auch für die Beschwerde in öffentlich-rechtlichen Angelegenheiten fortgeführt (vgl. Entscheid 2C_222/2007 vom 15. Oktober 2007 E. 2). Sie dient der Prozessökonomie und soll sicherstellen, dass sich das Bundesgericht nur einmal mit einem Prozess befassen muss.</w:t>
      </w:r>
    </w:p>
    <w:p>
      <w:r>
        <w:t>Die Beschwerdeführer können die Rügen hinsichtlich der Kosten- und Entschädigungsregelung mit Beschwerde gegen den Endentscheid vorbringen ( Art. 93 Abs. 3 BGG ). Sollte das Verfahren, wie sich aufgrund des Projektänderungsgesuchs der Beschwerdegegnerin abzeichnet, mit einem für die Beschwerdeführer günstigem Entscheid enden oder als gegenstandslos geworden abgeschrieben werden, kann die streitige Kostenverfügung unmittelbar im Anschluss an den unterinstanzlichen Entscheid mit Beschwerde in öffentlich-rechtlichen Angelegenheiten angefochten werden ( BGE 122 I 39 E. 1a/bb S. 43; 117 Ia 251 E. 1b S. 254 f. mit Hinweisen).</w:t>
      </w:r>
    </w:p>
    <w:p>
      <w:r>
        <w:rPr>
          <w:b/>
        </w:rPr>
        <w:t>E. 3</w:t>
      </w:r>
    </w:p>
    <w:p>
      <w:r>
        <w:t>Nach dem Gesagten ist auf die Beschwerde in öffentlich-rechtlichen Angelegenheiten nicht einzutreten. Entsprechend dem Verfahrensausgang sind die Kosten des bundesgerichtlichen Verfahrens den Beschwerdeführern aufzuerlegen (Art. 65 f. BGG). Ein Anspruch auf Parteientschädigung besteht nicht, zumal die Beschwerdegegnerin auf Vernehmlassung und Antragsstellung verzichtet hat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